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73498">
      <w:pPr>
        <w:ind w:left="0" w:leftChars="0" w:firstLine="0" w:firstLineChars="0"/>
        <w:jc w:val="both"/>
        <w:rPr>
          <w:rFonts w:hint="eastAsia"/>
          <w:color w:val="auto"/>
          <w:sz w:val="40"/>
          <w:szCs w:val="48"/>
          <w:lang w:val="zh-TW" w:eastAsia="zh-CN"/>
        </w:rPr>
      </w:pPr>
      <w:r>
        <w:rPr>
          <w:rFonts w:hint="default" w:eastAsia="宋体"/>
          <w:lang w:val="en-US" w:eastAsia="zh-CN"/>
        </w:rPr>
        <w:drawing>
          <wp:inline distT="0" distB="0" distL="114300" distR="114300">
            <wp:extent cx="2245995" cy="688340"/>
            <wp:effectExtent l="0" t="0" r="1905" b="16510"/>
            <wp:docPr id="3" name="图片 3" descr="欧本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欧本图标"/>
                    <pic:cNvPicPr>
                      <a:picLocks noChangeAspect="1"/>
                    </pic:cNvPicPr>
                  </pic:nvPicPr>
                  <pic:blipFill>
                    <a:blip r:embed="rId10"/>
                    <a:stretch>
                      <a:fillRect/>
                    </a:stretch>
                  </pic:blipFill>
                  <pic:spPr>
                    <a:xfrm>
                      <a:off x="0" y="0"/>
                      <a:ext cx="2245995" cy="688340"/>
                    </a:xfrm>
                    <a:prstGeom prst="rect">
                      <a:avLst/>
                    </a:prstGeom>
                  </pic:spPr>
                </pic:pic>
              </a:graphicData>
            </a:graphic>
          </wp:inline>
        </w:drawing>
      </w:r>
    </w:p>
    <w:p w14:paraId="2BD3623E">
      <w:pPr>
        <w:jc w:val="center"/>
        <w:rPr>
          <w:rFonts w:hint="eastAsia"/>
          <w:color w:val="auto"/>
          <w:sz w:val="40"/>
          <w:szCs w:val="48"/>
          <w:lang w:val="zh-TW" w:eastAsia="zh-CN"/>
        </w:rPr>
      </w:pPr>
    </w:p>
    <w:p w14:paraId="14FF1060">
      <w:pPr>
        <w:jc w:val="center"/>
        <w:rPr>
          <w:rFonts w:hint="default" w:ascii="Times New Roman" w:hAnsi="Times New Roman" w:cs="Times New Roman"/>
          <w:color w:val="auto"/>
          <w:sz w:val="44"/>
          <w:szCs w:val="52"/>
          <w:lang w:val="en-US" w:eastAsia="zh-CN"/>
        </w:rPr>
      </w:pPr>
    </w:p>
    <w:p w14:paraId="38D3355B">
      <w:pPr>
        <w:ind w:left="0" w:leftChars="0" w:right="0" w:rightChars="0" w:firstLine="0" w:firstLineChars="0"/>
        <w:jc w:val="center"/>
        <w:rPr>
          <w:rFonts w:hint="eastAsia" w:ascii="黑体" w:hAnsi="黑体" w:eastAsia="黑体" w:cs="黑体"/>
          <w:color w:val="auto"/>
          <w:sz w:val="44"/>
          <w:szCs w:val="52"/>
          <w:lang w:val="zh-TW" w:eastAsia="zh-CN"/>
        </w:rPr>
      </w:pPr>
      <w:r>
        <w:rPr>
          <w:rFonts w:hint="eastAsia" w:ascii="黑体" w:hAnsi="黑体" w:eastAsia="黑体" w:cs="黑体"/>
          <w:color w:val="auto"/>
          <w:sz w:val="44"/>
          <w:szCs w:val="52"/>
          <w:lang w:val="zh-TW" w:eastAsia="zh-CN"/>
        </w:rPr>
        <w:t>嘉善欧本轴承有限公司</w:t>
      </w:r>
    </w:p>
    <w:p w14:paraId="0A682DFA">
      <w:pPr>
        <w:ind w:left="0" w:leftChars="0" w:right="0" w:rightChars="0" w:firstLine="0" w:firstLineChars="0"/>
        <w:jc w:val="center"/>
        <w:rPr>
          <w:rFonts w:hint="eastAsia" w:ascii="黑体" w:hAnsi="黑体" w:eastAsia="黑体" w:cs="黑体"/>
          <w:color w:val="auto"/>
          <w:sz w:val="44"/>
          <w:szCs w:val="52"/>
          <w:lang w:val="en-US" w:eastAsia="zh-CN"/>
        </w:rPr>
      </w:pPr>
      <w:r>
        <w:rPr>
          <w:rFonts w:hint="eastAsia" w:ascii="黑体" w:hAnsi="黑体" w:eastAsia="黑体" w:cs="黑体"/>
          <w:color w:val="auto"/>
          <w:sz w:val="44"/>
          <w:szCs w:val="52"/>
          <w:lang w:val="en-US" w:eastAsia="zh-CN"/>
        </w:rPr>
        <w:t>社会责任报告</w:t>
      </w:r>
    </w:p>
    <w:p w14:paraId="423E2D0D">
      <w:pPr>
        <w:ind w:left="0" w:leftChars="0" w:right="0" w:rightChars="0" w:firstLine="0" w:firstLineChars="0"/>
        <w:jc w:val="center"/>
        <w:rPr>
          <w:rFonts w:hint="eastAsia" w:ascii="黑体" w:hAnsi="黑体" w:eastAsia="黑体" w:cs="黑体"/>
          <w:color w:val="auto"/>
          <w:sz w:val="44"/>
          <w:szCs w:val="52"/>
          <w:lang w:val="zh-TW" w:eastAsia="zh-CN"/>
        </w:rPr>
      </w:pPr>
    </w:p>
    <w:p w14:paraId="4A2FCF58">
      <w:pPr>
        <w:ind w:left="0" w:leftChars="0" w:right="0" w:rightChars="0" w:firstLine="0" w:firstLineChars="0"/>
        <w:jc w:val="center"/>
        <w:rPr>
          <w:rFonts w:hint="eastAsia"/>
          <w:color w:val="auto"/>
          <w:sz w:val="44"/>
          <w:szCs w:val="52"/>
          <w:lang w:val="zh-TW" w:eastAsia="zh-CN"/>
        </w:rPr>
      </w:pPr>
    </w:p>
    <w:p w14:paraId="33315DCD">
      <w:pPr>
        <w:ind w:left="0" w:leftChars="0" w:right="0" w:rightChars="0" w:firstLine="0" w:firstLineChars="0"/>
        <w:jc w:val="center"/>
        <w:rPr>
          <w:rFonts w:hint="eastAsia"/>
          <w:color w:val="auto"/>
          <w:sz w:val="44"/>
          <w:szCs w:val="52"/>
          <w:lang w:val="zh-TW" w:eastAsia="zh-CN"/>
        </w:rPr>
      </w:pPr>
    </w:p>
    <w:p w14:paraId="5B58A3B0">
      <w:pPr>
        <w:ind w:left="0" w:leftChars="0" w:right="0" w:rightChars="0" w:firstLine="0" w:firstLineChars="0"/>
        <w:jc w:val="center"/>
        <w:rPr>
          <w:rFonts w:hint="eastAsia" w:ascii="黑体" w:hAnsi="黑体" w:eastAsia="黑体" w:cs="黑体"/>
          <w:color w:val="auto"/>
          <w:sz w:val="44"/>
          <w:szCs w:val="52"/>
          <w:lang w:val="en-US" w:eastAsia="zh-CN"/>
        </w:rPr>
      </w:pPr>
      <w:r>
        <w:rPr>
          <w:rFonts w:hint="eastAsia" w:ascii="黑体" w:hAnsi="黑体" w:eastAsia="黑体" w:cs="黑体"/>
          <w:color w:val="auto"/>
          <w:sz w:val="44"/>
          <w:szCs w:val="52"/>
          <w:lang w:val="en-US" w:eastAsia="zh-CN"/>
        </w:rPr>
        <w:t>（2024年度）</w:t>
      </w:r>
    </w:p>
    <w:p w14:paraId="1ED8385F">
      <w:pPr>
        <w:jc w:val="center"/>
        <w:rPr>
          <w:rFonts w:hint="default"/>
          <w:color w:val="auto"/>
          <w:sz w:val="40"/>
          <w:szCs w:val="48"/>
          <w:lang w:val="en-US" w:eastAsia="zh-CN"/>
        </w:rPr>
      </w:pPr>
    </w:p>
    <w:p w14:paraId="71FA67E5">
      <w:pPr>
        <w:jc w:val="center"/>
        <w:rPr>
          <w:rFonts w:hint="default"/>
          <w:color w:val="auto"/>
          <w:sz w:val="40"/>
          <w:szCs w:val="48"/>
          <w:lang w:val="en-US" w:eastAsia="zh-CN"/>
        </w:rPr>
      </w:pPr>
    </w:p>
    <w:p w14:paraId="0250B4B6">
      <w:pPr>
        <w:jc w:val="center"/>
        <w:rPr>
          <w:rFonts w:hint="default"/>
          <w:color w:val="auto"/>
          <w:sz w:val="40"/>
          <w:szCs w:val="48"/>
          <w:lang w:val="en-US" w:eastAsia="zh-CN"/>
        </w:rPr>
      </w:pPr>
    </w:p>
    <w:p w14:paraId="0277E9F3">
      <w:pPr>
        <w:jc w:val="center"/>
        <w:rPr>
          <w:rFonts w:hint="default"/>
          <w:color w:val="auto"/>
          <w:sz w:val="40"/>
          <w:szCs w:val="48"/>
          <w:lang w:val="en-US" w:eastAsia="zh-CN"/>
        </w:rPr>
      </w:pPr>
    </w:p>
    <w:p w14:paraId="7264452E">
      <w:pPr>
        <w:jc w:val="center"/>
        <w:rPr>
          <w:rFonts w:hint="default"/>
          <w:color w:val="auto"/>
          <w:sz w:val="40"/>
          <w:szCs w:val="48"/>
          <w:lang w:val="en-US" w:eastAsia="zh-CN"/>
        </w:rPr>
      </w:pPr>
    </w:p>
    <w:p w14:paraId="1825F18C">
      <w:pPr>
        <w:jc w:val="center"/>
        <w:rPr>
          <w:rFonts w:hint="default"/>
          <w:color w:val="auto"/>
          <w:sz w:val="40"/>
          <w:szCs w:val="48"/>
          <w:lang w:val="en-US" w:eastAsia="zh-CN"/>
        </w:rPr>
      </w:pPr>
    </w:p>
    <w:p w14:paraId="1388B66F">
      <w:pPr>
        <w:ind w:left="0" w:leftChars="0" w:right="0" w:rightChars="0" w:firstLine="0" w:firstLineChars="0"/>
        <w:jc w:val="center"/>
        <w:rPr>
          <w:rFonts w:hint="eastAsia" w:ascii="黑体" w:hAnsi="黑体" w:eastAsia="黑体" w:cs="黑体"/>
          <w:color w:val="auto"/>
          <w:sz w:val="36"/>
          <w:szCs w:val="44"/>
          <w:lang w:val="en-US" w:eastAsia="zh-CN"/>
        </w:rPr>
      </w:pPr>
      <w:r>
        <w:rPr>
          <w:rFonts w:hint="eastAsia" w:ascii="黑体" w:hAnsi="黑体" w:eastAsia="黑体" w:cs="黑体"/>
          <w:color w:val="auto"/>
          <w:sz w:val="36"/>
          <w:szCs w:val="44"/>
          <w:lang w:val="en-US" w:eastAsia="zh-CN"/>
        </w:rPr>
        <w:t>2025年1月</w:t>
      </w:r>
    </w:p>
    <w:p w14:paraId="05358D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bCs/>
          <w:color w:val="auto"/>
          <w:sz w:val="24"/>
          <w:szCs w:val="32"/>
          <w:lang w:val="en-US" w:eastAsia="zh-CN"/>
        </w:rPr>
        <w:sectPr>
          <w:headerReference r:id="rId5" w:type="default"/>
          <w:pgSz w:w="11906" w:h="16838"/>
          <w:pgMar w:top="1440" w:right="1800" w:bottom="1440" w:left="1800" w:header="794" w:footer="992" w:gutter="0"/>
          <w:pgNumType w:fmt="decimal"/>
          <w:cols w:space="425" w:num="1"/>
          <w:docGrid w:type="lines" w:linePitch="312" w:charSpace="0"/>
        </w:sectPr>
      </w:pPr>
    </w:p>
    <w:p w14:paraId="17D7D302">
      <w:pPr>
        <w:pStyle w:val="26"/>
        <w:outlineLvl w:val="9"/>
      </w:pPr>
      <w:r>
        <w:t>目  录</w:t>
      </w:r>
    </w:p>
    <w:sdt>
      <w:sdtPr>
        <w:rPr>
          <w:rFonts w:ascii="宋体" w:hAnsi="宋体" w:eastAsia="宋体" w:cstheme="minorBidi"/>
          <w:color w:val="auto"/>
          <w:kern w:val="2"/>
          <w:sz w:val="21"/>
          <w:szCs w:val="24"/>
          <w:lang w:val="en-US" w:eastAsia="zh-CN" w:bidi="ar-SA"/>
        </w:rPr>
        <w:id w:val="147452716"/>
        <w15:color w:val="DBDBDB"/>
        <w:docPartObj>
          <w:docPartGallery w:val="Table of Contents"/>
          <w:docPartUnique/>
        </w:docPartObj>
      </w:sdtPr>
      <w:sdtEndPr>
        <w:rPr>
          <w:rFonts w:hint="eastAsia" w:ascii="Times New Roman" w:hAnsi="Times New Roman" w:eastAsia="宋体" w:cs="Times New Roman"/>
          <w:b/>
          <w:bCs w:val="0"/>
          <w:color w:val="auto"/>
          <w:kern w:val="2"/>
          <w:sz w:val="24"/>
          <w:szCs w:val="44"/>
          <w:lang w:val="en-US" w:eastAsia="zh-CN" w:bidi="ar-SA"/>
        </w:rPr>
      </w:sdtEndPr>
      <w:sdtContent>
        <w:p w14:paraId="080808BE">
          <w:pPr>
            <w:spacing w:before="0" w:beforeLines="0" w:after="0" w:afterLines="0" w:line="240" w:lineRule="auto"/>
            <w:ind w:left="0" w:leftChars="0" w:right="0" w:rightChars="0" w:firstLine="0" w:firstLineChars="0"/>
            <w:jc w:val="center"/>
            <w:rPr>
              <w:color w:val="auto"/>
            </w:rPr>
          </w:pPr>
        </w:p>
        <w:p w14:paraId="16D78737">
          <w:pPr>
            <w:pStyle w:val="14"/>
            <w:tabs>
              <w:tab w:val="right" w:leader="dot" w:pos="8306"/>
            </w:tabs>
          </w:pPr>
          <w:r>
            <w:rPr>
              <w:rFonts w:hint="eastAsia" w:ascii="Times New Roman" w:hAnsi="Times New Roman" w:cs="Times New Roman"/>
              <w:b w:val="0"/>
              <w:bCs w:val="0"/>
              <w:color w:val="auto"/>
              <w:sz w:val="24"/>
              <w:szCs w:val="24"/>
              <w:lang w:val="en-US" w:eastAsia="zh-CN"/>
            </w:rPr>
            <w:fldChar w:fldCharType="begin"/>
          </w:r>
          <w:r>
            <w:rPr>
              <w:rFonts w:hint="eastAsia" w:ascii="Times New Roman" w:hAnsi="Times New Roman" w:cs="Times New Roman"/>
              <w:b w:val="0"/>
              <w:bCs w:val="0"/>
              <w:color w:val="auto"/>
              <w:sz w:val="24"/>
              <w:szCs w:val="24"/>
              <w:lang w:val="en-US" w:eastAsia="zh-CN"/>
            </w:rPr>
            <w:instrText xml:space="preserve">TOC \o "1-2" \h \u </w:instrText>
          </w:r>
          <w:r>
            <w:rPr>
              <w:rFonts w:hint="eastAsia" w:ascii="Times New Roman" w:hAnsi="Times New Roman" w:cs="Times New Roman"/>
              <w:b w:val="0"/>
              <w:bCs w:val="0"/>
              <w:color w:val="auto"/>
              <w:sz w:val="24"/>
              <w:szCs w:val="24"/>
              <w:lang w:val="en-US" w:eastAsia="zh-CN"/>
            </w:rPr>
            <w:fldChar w:fldCharType="separate"/>
          </w: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_Toc505 </w:instrText>
          </w:r>
          <w:r>
            <w:rPr>
              <w:rFonts w:hint="eastAsia" w:ascii="Times New Roman" w:hAnsi="Times New Roman" w:cs="Times New Roman"/>
              <w:bCs w:val="0"/>
              <w:szCs w:val="24"/>
              <w:lang w:val="en-US" w:eastAsia="zh-CN"/>
            </w:rPr>
            <w:fldChar w:fldCharType="separate"/>
          </w:r>
          <w:r>
            <w:rPr>
              <w:rFonts w:hint="eastAsia"/>
            </w:rPr>
            <w:t xml:space="preserve">一、 </w:t>
          </w:r>
          <w:r>
            <w:t>公司概况</w:t>
          </w:r>
          <w:r>
            <w:tab/>
          </w:r>
          <w:r>
            <w:fldChar w:fldCharType="begin"/>
          </w:r>
          <w:r>
            <w:instrText xml:space="preserve"> PAGEREF _Toc505 \h </w:instrText>
          </w:r>
          <w:r>
            <w:fldChar w:fldCharType="separate"/>
          </w:r>
          <w:r>
            <w:t>1</w:t>
          </w:r>
          <w:r>
            <w:fldChar w:fldCharType="end"/>
          </w:r>
          <w:r>
            <w:rPr>
              <w:rFonts w:hint="eastAsia" w:ascii="Times New Roman" w:hAnsi="Times New Roman" w:cs="Times New Roman"/>
              <w:bCs w:val="0"/>
              <w:color w:val="auto"/>
              <w:szCs w:val="24"/>
              <w:lang w:val="en-US" w:eastAsia="zh-CN"/>
            </w:rPr>
            <w:fldChar w:fldCharType="end"/>
          </w:r>
        </w:p>
        <w:p w14:paraId="70B669C1">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_Toc27880 </w:instrText>
          </w:r>
          <w:r>
            <w:rPr>
              <w:rFonts w:hint="eastAsia" w:ascii="Times New Roman" w:hAnsi="Times New Roman" w:cs="Times New Roman"/>
              <w:bCs w:val="0"/>
              <w:szCs w:val="24"/>
              <w:lang w:val="en-US" w:eastAsia="zh-CN"/>
            </w:rPr>
            <w:fldChar w:fldCharType="separate"/>
          </w:r>
          <w:r>
            <w:rPr>
              <w:rFonts w:hint="eastAsia"/>
            </w:rPr>
            <w:t xml:space="preserve">（一） </w:t>
          </w:r>
          <w:r>
            <w:t>公司基本情况</w:t>
          </w:r>
          <w:r>
            <w:tab/>
          </w:r>
          <w:r>
            <w:fldChar w:fldCharType="begin"/>
          </w:r>
          <w:r>
            <w:instrText xml:space="preserve"> PAGEREF _Toc27880 \h </w:instrText>
          </w:r>
          <w:r>
            <w:fldChar w:fldCharType="separate"/>
          </w:r>
          <w:r>
            <w:t>1</w:t>
          </w:r>
          <w:r>
            <w:fldChar w:fldCharType="end"/>
          </w:r>
          <w:r>
            <w:rPr>
              <w:rFonts w:hint="eastAsia" w:ascii="Times New Roman" w:hAnsi="Times New Roman" w:cs="Times New Roman"/>
              <w:bCs w:val="0"/>
              <w:color w:val="auto"/>
              <w:szCs w:val="24"/>
              <w:lang w:val="en-US" w:eastAsia="zh-CN"/>
            </w:rPr>
            <w:fldChar w:fldCharType="end"/>
          </w:r>
        </w:p>
        <w:p w14:paraId="5A125C75">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_Toc14310 </w:instrText>
          </w:r>
          <w:r>
            <w:rPr>
              <w:rFonts w:hint="eastAsia" w:ascii="Times New Roman" w:hAnsi="Times New Roman" w:cs="Times New Roman"/>
              <w:bCs w:val="0"/>
              <w:szCs w:val="24"/>
              <w:lang w:val="en-US" w:eastAsia="zh-CN"/>
            </w:rPr>
            <w:fldChar w:fldCharType="separate"/>
          </w:r>
          <w:r>
            <w:rPr>
              <w:rFonts w:hint="eastAsia"/>
            </w:rPr>
            <w:t xml:space="preserve">（二） </w:t>
          </w:r>
          <w:r>
            <w:t>公司治理结构</w:t>
          </w:r>
          <w:r>
            <w:tab/>
          </w:r>
          <w:r>
            <w:fldChar w:fldCharType="begin"/>
          </w:r>
          <w:r>
            <w:instrText xml:space="preserve"> PAGEREF _Toc14310 \h </w:instrText>
          </w:r>
          <w:r>
            <w:fldChar w:fldCharType="separate"/>
          </w:r>
          <w:r>
            <w:t>1</w:t>
          </w:r>
          <w:r>
            <w:fldChar w:fldCharType="end"/>
          </w:r>
          <w:r>
            <w:rPr>
              <w:rFonts w:hint="eastAsia" w:ascii="Times New Roman" w:hAnsi="Times New Roman" w:cs="Times New Roman"/>
              <w:bCs w:val="0"/>
              <w:color w:val="auto"/>
              <w:szCs w:val="24"/>
              <w:lang w:val="en-US" w:eastAsia="zh-CN"/>
            </w:rPr>
            <w:fldChar w:fldCharType="end"/>
          </w:r>
        </w:p>
        <w:p w14:paraId="13B217FB">
          <w:pPr>
            <w:pStyle w:val="14"/>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_Toc32126 </w:instrText>
          </w:r>
          <w:r>
            <w:rPr>
              <w:rFonts w:hint="eastAsia" w:ascii="Times New Roman" w:hAnsi="Times New Roman" w:cs="Times New Roman"/>
              <w:bCs w:val="0"/>
              <w:szCs w:val="24"/>
              <w:lang w:val="en-US" w:eastAsia="zh-CN"/>
            </w:rPr>
            <w:fldChar w:fldCharType="separate"/>
          </w:r>
          <w:r>
            <w:rPr>
              <w:rFonts w:hint="eastAsia"/>
            </w:rPr>
            <w:t xml:space="preserve">二、 </w:t>
          </w:r>
          <w:r>
            <w:t>公司对社会责任的认识</w:t>
          </w:r>
          <w:r>
            <w:tab/>
          </w:r>
          <w:r>
            <w:fldChar w:fldCharType="begin"/>
          </w:r>
          <w:r>
            <w:instrText xml:space="preserve"> PAGEREF _Toc32126 \h </w:instrText>
          </w:r>
          <w:r>
            <w:fldChar w:fldCharType="separate"/>
          </w:r>
          <w:r>
            <w:t>1</w:t>
          </w:r>
          <w:r>
            <w:fldChar w:fldCharType="end"/>
          </w:r>
          <w:r>
            <w:rPr>
              <w:rFonts w:hint="eastAsia" w:ascii="Times New Roman" w:hAnsi="Times New Roman" w:cs="Times New Roman"/>
              <w:bCs w:val="0"/>
              <w:color w:val="auto"/>
              <w:szCs w:val="24"/>
              <w:lang w:val="en-US" w:eastAsia="zh-CN"/>
            </w:rPr>
            <w:fldChar w:fldCharType="end"/>
          </w:r>
        </w:p>
        <w:p w14:paraId="35954852">
          <w:pPr>
            <w:pStyle w:val="14"/>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_Toc6956 </w:instrText>
          </w:r>
          <w:r>
            <w:rPr>
              <w:rFonts w:hint="eastAsia" w:ascii="Times New Roman" w:hAnsi="Times New Roman" w:cs="Times New Roman"/>
              <w:bCs w:val="0"/>
              <w:szCs w:val="24"/>
              <w:lang w:val="en-US" w:eastAsia="zh-CN"/>
            </w:rPr>
            <w:fldChar w:fldCharType="separate"/>
          </w:r>
          <w:r>
            <w:rPr>
              <w:rFonts w:hint="eastAsia"/>
            </w:rPr>
            <w:t xml:space="preserve">三、 </w:t>
          </w:r>
          <w:r>
            <w:t>在促进经济可持续发展方面履行的社会责任</w:t>
          </w:r>
          <w:r>
            <w:tab/>
          </w:r>
          <w:r>
            <w:fldChar w:fldCharType="begin"/>
          </w:r>
          <w:r>
            <w:instrText xml:space="preserve"> PAGEREF _Toc6956 \h </w:instrText>
          </w:r>
          <w:r>
            <w:fldChar w:fldCharType="separate"/>
          </w:r>
          <w:r>
            <w:t>2</w:t>
          </w:r>
          <w:r>
            <w:fldChar w:fldCharType="end"/>
          </w:r>
          <w:r>
            <w:rPr>
              <w:rFonts w:hint="eastAsia" w:ascii="Times New Roman" w:hAnsi="Times New Roman" w:cs="Times New Roman"/>
              <w:bCs w:val="0"/>
              <w:color w:val="auto"/>
              <w:szCs w:val="24"/>
              <w:lang w:val="en-US" w:eastAsia="zh-CN"/>
            </w:rPr>
            <w:fldChar w:fldCharType="end"/>
          </w:r>
        </w:p>
        <w:p w14:paraId="4F6DC886">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_Toc4140 </w:instrText>
          </w:r>
          <w:r>
            <w:rPr>
              <w:rFonts w:hint="eastAsia" w:ascii="Times New Roman" w:hAnsi="Times New Roman" w:cs="Times New Roman"/>
              <w:bCs w:val="0"/>
              <w:szCs w:val="24"/>
              <w:lang w:val="en-US" w:eastAsia="zh-CN"/>
            </w:rPr>
            <w:fldChar w:fldCharType="separate"/>
          </w:r>
          <w:r>
            <w:rPr>
              <w:rFonts w:hint="eastAsia"/>
            </w:rPr>
            <w:t xml:space="preserve">（一） </w:t>
          </w:r>
          <w:r>
            <w:t>合法合规经营</w:t>
          </w:r>
          <w:r>
            <w:tab/>
          </w:r>
          <w:r>
            <w:fldChar w:fldCharType="begin"/>
          </w:r>
          <w:r>
            <w:instrText xml:space="preserve"> PAGEREF _Toc4140 \h </w:instrText>
          </w:r>
          <w:r>
            <w:fldChar w:fldCharType="separate"/>
          </w:r>
          <w:r>
            <w:t>2</w:t>
          </w:r>
          <w:r>
            <w:fldChar w:fldCharType="end"/>
          </w:r>
          <w:r>
            <w:rPr>
              <w:rFonts w:hint="eastAsia" w:ascii="Times New Roman" w:hAnsi="Times New Roman" w:cs="Times New Roman"/>
              <w:bCs w:val="0"/>
              <w:color w:val="auto"/>
              <w:szCs w:val="24"/>
              <w:lang w:val="en-US" w:eastAsia="zh-CN"/>
            </w:rPr>
            <w:fldChar w:fldCharType="end"/>
          </w:r>
        </w:p>
        <w:p w14:paraId="71AC6C65">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_Toc15041 </w:instrText>
          </w:r>
          <w:r>
            <w:rPr>
              <w:rFonts w:hint="eastAsia" w:ascii="Times New Roman" w:hAnsi="Times New Roman" w:cs="Times New Roman"/>
              <w:bCs w:val="0"/>
              <w:szCs w:val="24"/>
              <w:lang w:val="en-US" w:eastAsia="zh-CN"/>
            </w:rPr>
            <w:fldChar w:fldCharType="separate"/>
          </w:r>
          <w:r>
            <w:rPr>
              <w:rFonts w:hint="eastAsia"/>
            </w:rPr>
            <w:t xml:space="preserve">（二） </w:t>
          </w:r>
          <w:r>
            <w:t>依法诚信纳税</w:t>
          </w:r>
          <w:r>
            <w:tab/>
          </w:r>
          <w:r>
            <w:fldChar w:fldCharType="begin"/>
          </w:r>
          <w:r>
            <w:instrText xml:space="preserve"> PAGEREF _Toc15041 \h </w:instrText>
          </w:r>
          <w:r>
            <w:fldChar w:fldCharType="separate"/>
          </w:r>
          <w:r>
            <w:t>2</w:t>
          </w:r>
          <w:r>
            <w:fldChar w:fldCharType="end"/>
          </w:r>
          <w:r>
            <w:rPr>
              <w:rFonts w:hint="eastAsia" w:ascii="Times New Roman" w:hAnsi="Times New Roman" w:cs="Times New Roman"/>
              <w:bCs w:val="0"/>
              <w:color w:val="auto"/>
              <w:szCs w:val="24"/>
              <w:lang w:val="en-US" w:eastAsia="zh-CN"/>
            </w:rPr>
            <w:fldChar w:fldCharType="end"/>
          </w:r>
        </w:p>
        <w:p w14:paraId="7168CD41">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_Toc822 </w:instrText>
          </w:r>
          <w:r>
            <w:rPr>
              <w:rFonts w:hint="eastAsia" w:ascii="Times New Roman" w:hAnsi="Times New Roman" w:cs="Times New Roman"/>
              <w:bCs w:val="0"/>
              <w:szCs w:val="24"/>
              <w:lang w:val="en-US" w:eastAsia="zh-CN"/>
            </w:rPr>
            <w:fldChar w:fldCharType="separate"/>
          </w:r>
          <w:r>
            <w:rPr>
              <w:rFonts w:hint="eastAsia"/>
            </w:rPr>
            <w:t xml:space="preserve">（三） </w:t>
          </w:r>
          <w:r>
            <w:t>按时披露信息</w:t>
          </w:r>
          <w:r>
            <w:tab/>
          </w:r>
          <w:r>
            <w:fldChar w:fldCharType="begin"/>
          </w:r>
          <w:r>
            <w:instrText xml:space="preserve"> PAGEREF _Toc822 \h </w:instrText>
          </w:r>
          <w:r>
            <w:fldChar w:fldCharType="separate"/>
          </w:r>
          <w:r>
            <w:t>2</w:t>
          </w:r>
          <w:r>
            <w:fldChar w:fldCharType="end"/>
          </w:r>
          <w:r>
            <w:rPr>
              <w:rFonts w:hint="eastAsia" w:ascii="Times New Roman" w:hAnsi="Times New Roman" w:cs="Times New Roman"/>
              <w:bCs w:val="0"/>
              <w:color w:val="auto"/>
              <w:szCs w:val="24"/>
              <w:lang w:val="en-US" w:eastAsia="zh-CN"/>
            </w:rPr>
            <w:fldChar w:fldCharType="end"/>
          </w:r>
        </w:p>
        <w:p w14:paraId="4F4B9A34">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_Toc25199 </w:instrText>
          </w:r>
          <w:r>
            <w:rPr>
              <w:rFonts w:hint="eastAsia" w:ascii="Times New Roman" w:hAnsi="Times New Roman" w:cs="Times New Roman"/>
              <w:bCs w:val="0"/>
              <w:szCs w:val="24"/>
              <w:lang w:val="en-US" w:eastAsia="zh-CN"/>
            </w:rPr>
            <w:fldChar w:fldCharType="separate"/>
          </w:r>
          <w:r>
            <w:rPr>
              <w:rFonts w:hint="eastAsia"/>
            </w:rPr>
            <w:t xml:space="preserve">（四） </w:t>
          </w:r>
          <w:r>
            <w:t>技术创新</w:t>
          </w:r>
          <w:r>
            <w:tab/>
          </w:r>
          <w:r>
            <w:fldChar w:fldCharType="begin"/>
          </w:r>
          <w:r>
            <w:instrText xml:space="preserve"> PAGEREF _Toc25199 \h </w:instrText>
          </w:r>
          <w:r>
            <w:fldChar w:fldCharType="separate"/>
          </w:r>
          <w:r>
            <w:t>3</w:t>
          </w:r>
          <w:r>
            <w:fldChar w:fldCharType="end"/>
          </w:r>
          <w:r>
            <w:rPr>
              <w:rFonts w:hint="eastAsia" w:ascii="Times New Roman" w:hAnsi="Times New Roman" w:cs="Times New Roman"/>
              <w:bCs w:val="0"/>
              <w:color w:val="auto"/>
              <w:szCs w:val="24"/>
              <w:lang w:val="en-US" w:eastAsia="zh-CN"/>
            </w:rPr>
            <w:fldChar w:fldCharType="end"/>
          </w:r>
        </w:p>
        <w:p w14:paraId="22FAB331">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_Toc10091 </w:instrText>
          </w:r>
          <w:r>
            <w:rPr>
              <w:rFonts w:hint="eastAsia" w:ascii="Times New Roman" w:hAnsi="Times New Roman" w:cs="Times New Roman"/>
              <w:bCs w:val="0"/>
              <w:szCs w:val="24"/>
              <w:lang w:val="en-US" w:eastAsia="zh-CN"/>
            </w:rPr>
            <w:fldChar w:fldCharType="separate"/>
          </w:r>
          <w:r>
            <w:rPr>
              <w:rFonts w:hint="eastAsia"/>
            </w:rPr>
            <w:t xml:space="preserve">（五） </w:t>
          </w:r>
          <w:r>
            <w:t>质量保证</w:t>
          </w:r>
          <w:r>
            <w:tab/>
          </w:r>
          <w:r>
            <w:fldChar w:fldCharType="begin"/>
          </w:r>
          <w:r>
            <w:instrText xml:space="preserve"> PAGEREF _Toc10091 \h </w:instrText>
          </w:r>
          <w:r>
            <w:fldChar w:fldCharType="separate"/>
          </w:r>
          <w:r>
            <w:t>3</w:t>
          </w:r>
          <w:r>
            <w:fldChar w:fldCharType="end"/>
          </w:r>
          <w:r>
            <w:rPr>
              <w:rFonts w:hint="eastAsia" w:ascii="Times New Roman" w:hAnsi="Times New Roman" w:cs="Times New Roman"/>
              <w:bCs w:val="0"/>
              <w:color w:val="auto"/>
              <w:szCs w:val="24"/>
              <w:lang w:val="en-US" w:eastAsia="zh-CN"/>
            </w:rPr>
            <w:fldChar w:fldCharType="end"/>
          </w:r>
        </w:p>
        <w:p w14:paraId="727348EA">
          <w:pPr>
            <w:pStyle w:val="14"/>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_Toc19249 </w:instrText>
          </w:r>
          <w:r>
            <w:rPr>
              <w:rFonts w:hint="eastAsia" w:ascii="Times New Roman" w:hAnsi="Times New Roman" w:cs="Times New Roman"/>
              <w:bCs w:val="0"/>
              <w:szCs w:val="24"/>
              <w:lang w:val="en-US" w:eastAsia="zh-CN"/>
            </w:rPr>
            <w:fldChar w:fldCharType="separate"/>
          </w:r>
          <w:r>
            <w:rPr>
              <w:rFonts w:hint="eastAsia"/>
            </w:rPr>
            <w:t xml:space="preserve">四、 </w:t>
          </w:r>
          <w:r>
            <w:t>在促进环境及生态可持续发展方面履行的社会责任</w:t>
          </w:r>
          <w:r>
            <w:tab/>
          </w:r>
          <w:r>
            <w:fldChar w:fldCharType="begin"/>
          </w:r>
          <w:r>
            <w:instrText xml:space="preserve"> PAGEREF _Toc19249 \h </w:instrText>
          </w:r>
          <w:r>
            <w:fldChar w:fldCharType="separate"/>
          </w:r>
          <w:r>
            <w:t>3</w:t>
          </w:r>
          <w:r>
            <w:fldChar w:fldCharType="end"/>
          </w:r>
          <w:r>
            <w:rPr>
              <w:rFonts w:hint="eastAsia" w:ascii="Times New Roman" w:hAnsi="Times New Roman" w:cs="Times New Roman"/>
              <w:bCs w:val="0"/>
              <w:color w:val="auto"/>
              <w:szCs w:val="24"/>
              <w:lang w:val="en-US" w:eastAsia="zh-CN"/>
            </w:rPr>
            <w:fldChar w:fldCharType="end"/>
          </w:r>
        </w:p>
        <w:p w14:paraId="5A980E23">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_Toc30623 </w:instrText>
          </w:r>
          <w:r>
            <w:rPr>
              <w:rFonts w:hint="eastAsia" w:ascii="Times New Roman" w:hAnsi="Times New Roman" w:cs="Times New Roman"/>
              <w:bCs w:val="0"/>
              <w:szCs w:val="24"/>
              <w:lang w:val="en-US" w:eastAsia="zh-CN"/>
            </w:rPr>
            <w:fldChar w:fldCharType="separate"/>
          </w:r>
          <w:r>
            <w:rPr>
              <w:rFonts w:hint="eastAsia"/>
            </w:rPr>
            <w:t xml:space="preserve">（一） </w:t>
          </w:r>
          <w:r>
            <w:t>注重环境管理</w:t>
          </w:r>
          <w:r>
            <w:tab/>
          </w:r>
          <w:r>
            <w:fldChar w:fldCharType="begin"/>
          </w:r>
          <w:r>
            <w:instrText xml:space="preserve"> PAGEREF _Toc30623 \h </w:instrText>
          </w:r>
          <w:r>
            <w:fldChar w:fldCharType="separate"/>
          </w:r>
          <w:r>
            <w:t>3</w:t>
          </w:r>
          <w:r>
            <w:fldChar w:fldCharType="end"/>
          </w:r>
          <w:r>
            <w:rPr>
              <w:rFonts w:hint="eastAsia" w:ascii="Times New Roman" w:hAnsi="Times New Roman" w:cs="Times New Roman"/>
              <w:bCs w:val="0"/>
              <w:color w:val="auto"/>
              <w:szCs w:val="24"/>
              <w:lang w:val="en-US" w:eastAsia="zh-CN"/>
            </w:rPr>
            <w:fldChar w:fldCharType="end"/>
          </w:r>
        </w:p>
        <w:p w14:paraId="423347BC">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_Toc6985 </w:instrText>
          </w:r>
          <w:r>
            <w:rPr>
              <w:rFonts w:hint="eastAsia" w:ascii="Times New Roman" w:hAnsi="Times New Roman" w:cs="Times New Roman"/>
              <w:bCs w:val="0"/>
              <w:szCs w:val="24"/>
              <w:lang w:val="en-US" w:eastAsia="zh-CN"/>
            </w:rPr>
            <w:fldChar w:fldCharType="separate"/>
          </w:r>
          <w:r>
            <w:rPr>
              <w:rFonts w:hint="eastAsia"/>
            </w:rPr>
            <w:t xml:space="preserve">（二） </w:t>
          </w:r>
          <w:r>
            <w:rPr>
              <w:rFonts w:hint="eastAsia"/>
              <w:lang w:eastAsia="zh-CN"/>
            </w:rPr>
            <w:t>强化能源及资源的综合高效利用</w:t>
          </w:r>
          <w:r>
            <w:tab/>
          </w:r>
          <w:r>
            <w:fldChar w:fldCharType="begin"/>
          </w:r>
          <w:r>
            <w:instrText xml:space="preserve"> PAGEREF _Toc6985 \h </w:instrText>
          </w:r>
          <w:r>
            <w:fldChar w:fldCharType="separate"/>
          </w:r>
          <w:r>
            <w:t>4</w:t>
          </w:r>
          <w:r>
            <w:fldChar w:fldCharType="end"/>
          </w:r>
          <w:r>
            <w:rPr>
              <w:rFonts w:hint="eastAsia" w:ascii="Times New Roman" w:hAnsi="Times New Roman" w:cs="Times New Roman"/>
              <w:bCs w:val="0"/>
              <w:color w:val="auto"/>
              <w:szCs w:val="24"/>
              <w:lang w:val="en-US" w:eastAsia="zh-CN"/>
            </w:rPr>
            <w:fldChar w:fldCharType="end"/>
          </w:r>
        </w:p>
        <w:p w14:paraId="57F06111">
          <w:pPr>
            <w:pStyle w:val="14"/>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_Toc9434 </w:instrText>
          </w:r>
          <w:r>
            <w:rPr>
              <w:rFonts w:hint="eastAsia" w:ascii="Times New Roman" w:hAnsi="Times New Roman" w:cs="Times New Roman"/>
              <w:bCs w:val="0"/>
              <w:szCs w:val="24"/>
              <w:lang w:val="en-US" w:eastAsia="zh-CN"/>
            </w:rPr>
            <w:fldChar w:fldCharType="separate"/>
          </w:r>
          <w:r>
            <w:rPr>
              <w:rFonts w:hint="eastAsia"/>
            </w:rPr>
            <w:t xml:space="preserve">五、 </w:t>
          </w:r>
          <w:r>
            <w:t>在促进社会可持续发展方面履行的社会责任</w:t>
          </w:r>
          <w:r>
            <w:tab/>
          </w:r>
          <w:r>
            <w:fldChar w:fldCharType="begin"/>
          </w:r>
          <w:r>
            <w:instrText xml:space="preserve"> PAGEREF _Toc9434 \h </w:instrText>
          </w:r>
          <w:r>
            <w:fldChar w:fldCharType="separate"/>
          </w:r>
          <w:r>
            <w:t>4</w:t>
          </w:r>
          <w:r>
            <w:fldChar w:fldCharType="end"/>
          </w:r>
          <w:r>
            <w:rPr>
              <w:rFonts w:hint="eastAsia" w:ascii="Times New Roman" w:hAnsi="Times New Roman" w:cs="Times New Roman"/>
              <w:bCs w:val="0"/>
              <w:color w:val="auto"/>
              <w:szCs w:val="24"/>
              <w:lang w:val="en-US" w:eastAsia="zh-CN"/>
            </w:rPr>
            <w:fldChar w:fldCharType="end"/>
          </w:r>
        </w:p>
        <w:p w14:paraId="566D9699">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_Toc7206 </w:instrText>
          </w:r>
          <w:r>
            <w:rPr>
              <w:rFonts w:hint="eastAsia" w:ascii="Times New Roman" w:hAnsi="Times New Roman" w:cs="Times New Roman"/>
              <w:bCs w:val="0"/>
              <w:szCs w:val="24"/>
              <w:lang w:val="en-US" w:eastAsia="zh-CN"/>
            </w:rPr>
            <w:fldChar w:fldCharType="separate"/>
          </w:r>
          <w:r>
            <w:rPr>
              <w:rFonts w:hint="eastAsia"/>
            </w:rPr>
            <w:t xml:space="preserve">（一） </w:t>
          </w:r>
          <w:r>
            <w:t>提高员工满意度，保障员工权益</w:t>
          </w:r>
          <w:r>
            <w:tab/>
          </w:r>
          <w:r>
            <w:fldChar w:fldCharType="begin"/>
          </w:r>
          <w:r>
            <w:instrText xml:space="preserve"> PAGEREF _Toc7206 \h </w:instrText>
          </w:r>
          <w:r>
            <w:fldChar w:fldCharType="separate"/>
          </w:r>
          <w:r>
            <w:t>4</w:t>
          </w:r>
          <w:r>
            <w:fldChar w:fldCharType="end"/>
          </w:r>
          <w:r>
            <w:rPr>
              <w:rFonts w:hint="eastAsia" w:ascii="Times New Roman" w:hAnsi="Times New Roman" w:cs="Times New Roman"/>
              <w:bCs w:val="0"/>
              <w:color w:val="auto"/>
              <w:szCs w:val="24"/>
              <w:lang w:val="en-US" w:eastAsia="zh-CN"/>
            </w:rPr>
            <w:fldChar w:fldCharType="end"/>
          </w:r>
        </w:p>
        <w:p w14:paraId="4E884DA4">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_Toc25911 </w:instrText>
          </w:r>
          <w:r>
            <w:rPr>
              <w:rFonts w:hint="eastAsia" w:ascii="Times New Roman" w:hAnsi="Times New Roman" w:cs="Times New Roman"/>
              <w:bCs w:val="0"/>
              <w:szCs w:val="24"/>
              <w:lang w:val="en-US" w:eastAsia="zh-CN"/>
            </w:rPr>
            <w:fldChar w:fldCharType="separate"/>
          </w:r>
          <w:r>
            <w:rPr>
              <w:rFonts w:hint="eastAsia"/>
            </w:rPr>
            <w:t xml:space="preserve">（二） </w:t>
          </w:r>
          <w:r>
            <w:t>强化员工培训，鼓励员工创新</w:t>
          </w:r>
          <w:r>
            <w:tab/>
          </w:r>
          <w:r>
            <w:fldChar w:fldCharType="begin"/>
          </w:r>
          <w:r>
            <w:instrText xml:space="preserve"> PAGEREF _Toc25911 \h </w:instrText>
          </w:r>
          <w:r>
            <w:fldChar w:fldCharType="separate"/>
          </w:r>
          <w:r>
            <w:t>5</w:t>
          </w:r>
          <w:r>
            <w:fldChar w:fldCharType="end"/>
          </w:r>
          <w:r>
            <w:rPr>
              <w:rFonts w:hint="eastAsia" w:ascii="Times New Roman" w:hAnsi="Times New Roman" w:cs="Times New Roman"/>
              <w:bCs w:val="0"/>
              <w:color w:val="auto"/>
              <w:szCs w:val="24"/>
              <w:lang w:val="en-US" w:eastAsia="zh-CN"/>
            </w:rPr>
            <w:fldChar w:fldCharType="end"/>
          </w:r>
        </w:p>
        <w:p w14:paraId="5ABB9F7D">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_Toc31826 </w:instrText>
          </w:r>
          <w:r>
            <w:rPr>
              <w:rFonts w:hint="eastAsia" w:ascii="Times New Roman" w:hAnsi="Times New Roman" w:cs="Times New Roman"/>
              <w:bCs w:val="0"/>
              <w:szCs w:val="24"/>
              <w:lang w:val="en-US" w:eastAsia="zh-CN"/>
            </w:rPr>
            <w:fldChar w:fldCharType="separate"/>
          </w:r>
          <w:r>
            <w:rPr>
              <w:rFonts w:hint="eastAsia"/>
            </w:rPr>
            <w:t xml:space="preserve">（三） </w:t>
          </w:r>
          <w:r>
            <w:t>完善职业健康安全管理</w:t>
          </w:r>
          <w:r>
            <w:tab/>
          </w:r>
          <w:r>
            <w:fldChar w:fldCharType="begin"/>
          </w:r>
          <w:r>
            <w:instrText xml:space="preserve"> PAGEREF _Toc31826 \h </w:instrText>
          </w:r>
          <w:r>
            <w:fldChar w:fldCharType="separate"/>
          </w:r>
          <w:r>
            <w:t>5</w:t>
          </w:r>
          <w:r>
            <w:fldChar w:fldCharType="end"/>
          </w:r>
          <w:r>
            <w:rPr>
              <w:rFonts w:hint="eastAsia" w:ascii="Times New Roman" w:hAnsi="Times New Roman" w:cs="Times New Roman"/>
              <w:bCs w:val="0"/>
              <w:color w:val="auto"/>
              <w:szCs w:val="24"/>
              <w:lang w:val="en-US" w:eastAsia="zh-CN"/>
            </w:rPr>
            <w:fldChar w:fldCharType="end"/>
          </w:r>
        </w:p>
        <w:p w14:paraId="0293DD8E">
          <w:pPr>
            <w:pStyle w:val="16"/>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_Toc8841 </w:instrText>
          </w:r>
          <w:r>
            <w:rPr>
              <w:rFonts w:hint="eastAsia" w:ascii="Times New Roman" w:hAnsi="Times New Roman" w:cs="Times New Roman"/>
              <w:bCs w:val="0"/>
              <w:szCs w:val="24"/>
              <w:lang w:val="en-US" w:eastAsia="zh-CN"/>
            </w:rPr>
            <w:fldChar w:fldCharType="separate"/>
          </w:r>
          <w:r>
            <w:rPr>
              <w:rFonts w:hint="eastAsia"/>
            </w:rPr>
            <w:t xml:space="preserve">（四） </w:t>
          </w:r>
          <w:r>
            <w:rPr>
              <w:rFonts w:hint="eastAsia"/>
              <w:lang w:eastAsia="zh-CN"/>
            </w:rPr>
            <w:t>积极参与公益事业</w:t>
          </w:r>
          <w:r>
            <w:tab/>
          </w:r>
          <w:r>
            <w:fldChar w:fldCharType="begin"/>
          </w:r>
          <w:r>
            <w:instrText xml:space="preserve"> PAGEREF _Toc8841 \h </w:instrText>
          </w:r>
          <w:r>
            <w:fldChar w:fldCharType="separate"/>
          </w:r>
          <w:r>
            <w:t>6</w:t>
          </w:r>
          <w:r>
            <w:fldChar w:fldCharType="end"/>
          </w:r>
          <w:r>
            <w:rPr>
              <w:rFonts w:hint="eastAsia" w:ascii="Times New Roman" w:hAnsi="Times New Roman" w:cs="Times New Roman"/>
              <w:bCs w:val="0"/>
              <w:color w:val="auto"/>
              <w:szCs w:val="24"/>
              <w:lang w:val="en-US" w:eastAsia="zh-CN"/>
            </w:rPr>
            <w:fldChar w:fldCharType="end"/>
          </w:r>
        </w:p>
        <w:p w14:paraId="6A68F583">
          <w:pPr>
            <w:pStyle w:val="14"/>
            <w:tabs>
              <w:tab w:val="right" w:leader="dot" w:pos="8306"/>
            </w:tabs>
          </w:pPr>
          <w:r>
            <w:rPr>
              <w:rFonts w:hint="eastAsia" w:ascii="Times New Roman" w:hAnsi="Times New Roman" w:cs="Times New Roman"/>
              <w:bCs w:val="0"/>
              <w:color w:val="auto"/>
              <w:szCs w:val="24"/>
              <w:lang w:val="en-US" w:eastAsia="zh-CN"/>
            </w:rPr>
            <w:fldChar w:fldCharType="begin"/>
          </w:r>
          <w:r>
            <w:rPr>
              <w:rFonts w:hint="eastAsia" w:ascii="Times New Roman" w:hAnsi="Times New Roman" w:cs="Times New Roman"/>
              <w:bCs w:val="0"/>
              <w:szCs w:val="24"/>
              <w:lang w:val="en-US" w:eastAsia="zh-CN"/>
            </w:rPr>
            <w:instrText xml:space="preserve"> HYPERLINK \l _Toc26113 </w:instrText>
          </w:r>
          <w:r>
            <w:rPr>
              <w:rFonts w:hint="eastAsia" w:ascii="Times New Roman" w:hAnsi="Times New Roman" w:cs="Times New Roman"/>
              <w:bCs w:val="0"/>
              <w:szCs w:val="24"/>
              <w:lang w:val="en-US" w:eastAsia="zh-CN"/>
            </w:rPr>
            <w:fldChar w:fldCharType="separate"/>
          </w:r>
          <w:r>
            <w:rPr>
              <w:rFonts w:hint="eastAsia"/>
            </w:rPr>
            <w:t xml:space="preserve">六、 </w:t>
          </w:r>
          <w:r>
            <w:t>2025年展望</w:t>
          </w:r>
          <w:r>
            <w:tab/>
          </w:r>
          <w:r>
            <w:fldChar w:fldCharType="begin"/>
          </w:r>
          <w:r>
            <w:instrText xml:space="preserve"> PAGEREF _Toc26113 \h </w:instrText>
          </w:r>
          <w:r>
            <w:fldChar w:fldCharType="separate"/>
          </w:r>
          <w:r>
            <w:t>6</w:t>
          </w:r>
          <w:r>
            <w:fldChar w:fldCharType="end"/>
          </w:r>
          <w:r>
            <w:rPr>
              <w:rFonts w:hint="eastAsia" w:ascii="Times New Roman" w:hAnsi="Times New Roman" w:cs="Times New Roman"/>
              <w:bCs w:val="0"/>
              <w:color w:val="auto"/>
              <w:szCs w:val="24"/>
              <w:lang w:val="en-US" w:eastAsia="zh-CN"/>
            </w:rPr>
            <w:fldChar w:fldCharType="end"/>
          </w:r>
        </w:p>
        <w:p w14:paraId="7BCBF41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val="0"/>
              <w:bCs w:val="0"/>
              <w:color w:val="auto"/>
              <w:sz w:val="36"/>
              <w:szCs w:val="44"/>
              <w:lang w:val="en-US" w:eastAsia="zh-CN"/>
            </w:rPr>
          </w:pPr>
          <w:r>
            <w:rPr>
              <w:rFonts w:hint="eastAsia" w:ascii="Times New Roman" w:hAnsi="Times New Roman" w:cs="Times New Roman"/>
              <w:bCs w:val="0"/>
              <w:color w:val="auto"/>
              <w:szCs w:val="24"/>
              <w:lang w:val="en-US" w:eastAsia="zh-CN"/>
            </w:rPr>
            <w:fldChar w:fldCharType="end"/>
          </w:r>
        </w:p>
      </w:sdtContent>
    </w:sdt>
    <w:p w14:paraId="4FDCBF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val="0"/>
          <w:bCs w:val="0"/>
          <w:color w:val="auto"/>
          <w:sz w:val="36"/>
          <w:szCs w:val="44"/>
          <w:lang w:val="en-US" w:eastAsia="zh-CN"/>
        </w:rPr>
      </w:pPr>
    </w:p>
    <w:p w14:paraId="4BEF58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val="0"/>
          <w:bCs w:val="0"/>
          <w:color w:val="auto"/>
          <w:sz w:val="36"/>
          <w:szCs w:val="44"/>
          <w:lang w:val="en-US" w:eastAsia="zh-CN"/>
        </w:rPr>
        <w:sectPr>
          <w:headerReference r:id="rId6" w:type="default"/>
          <w:footerReference r:id="rId7" w:type="default"/>
          <w:pgSz w:w="11906" w:h="16838"/>
          <w:pgMar w:top="1440" w:right="1800" w:bottom="1440" w:left="1800" w:header="794" w:footer="992" w:gutter="0"/>
          <w:pgNumType w:fmt="decimal" w:start="1"/>
          <w:cols w:space="425" w:num="1"/>
          <w:docGrid w:type="lines" w:linePitch="312" w:charSpace="0"/>
        </w:sectPr>
      </w:pPr>
    </w:p>
    <w:p w14:paraId="691EC314">
      <w:pPr>
        <w:pStyle w:val="2"/>
        <w:numPr>
          <w:ilvl w:val="0"/>
          <w:numId w:val="1"/>
        </w:numPr>
        <w:topLinePunct w:val="0"/>
        <w:ind w:left="0" w:leftChars="0" w:firstLine="0" w:firstLineChars="0"/>
        <w:rPr>
          <w:b w:val="0"/>
        </w:rPr>
      </w:pPr>
      <w:bookmarkStart w:id="0" w:name="_Toc20868"/>
      <w:bookmarkStart w:id="1" w:name="_Toc505"/>
      <w:r>
        <w:t>公司概况</w:t>
      </w:r>
      <w:bookmarkEnd w:id="0"/>
      <w:bookmarkEnd w:id="1"/>
    </w:p>
    <w:p w14:paraId="54028E2B">
      <w:pPr>
        <w:pStyle w:val="3"/>
        <w:numPr>
          <w:ilvl w:val="0"/>
          <w:numId w:val="2"/>
        </w:numPr>
        <w:topLinePunct w:val="0"/>
        <w:ind w:left="0" w:leftChars="0" w:firstLine="0" w:firstLineChars="0"/>
        <w:rPr>
          <w:b w:val="0"/>
        </w:rPr>
      </w:pPr>
      <w:bookmarkStart w:id="2" w:name="_Toc18796"/>
      <w:bookmarkStart w:id="3" w:name="_Toc27880"/>
      <w:r>
        <w:t>公司基本情况</w:t>
      </w:r>
      <w:bookmarkEnd w:id="2"/>
      <w:bookmarkEnd w:id="3"/>
    </w:p>
    <w:p w14:paraId="75435D17">
      <w:pPr>
        <w:pStyle w:val="11"/>
        <w:rPr>
          <w:color w:val="auto"/>
        </w:rPr>
      </w:pPr>
      <w:r>
        <w:rPr>
          <w:rFonts w:hint="eastAsia"/>
          <w:color w:val="auto"/>
          <w:lang w:eastAsia="zh-CN"/>
        </w:rPr>
        <w:t>成立于2006年的嘉善欧本轴承有限公司，位于浙江省嘉兴市嘉善县，专注于滑动轴承和金属塑料复合轴承的生产。公司</w:t>
      </w:r>
      <w:bookmarkStart w:id="34" w:name="_GoBack"/>
      <w:bookmarkEnd w:id="34"/>
      <w:r>
        <w:rPr>
          <w:rFonts w:hint="eastAsia"/>
          <w:color w:val="auto"/>
          <w:lang w:eastAsia="zh-CN"/>
        </w:rPr>
        <w:t>秉承“精益求精”的理念，追求卓越，为客户创造更大价值。在滑动轴承和复合新材料的研究、开发、推广和应用领域，嘉善欧本轴承有限公司已取得显著成就，占据行业领先地位。主要产品包括金属塑料复合系列滑动轴承、双金属系列轴承及单金属系列滑动轴承等，广泛应用于汽车、冶金、工程机械、建筑机械、塑料机械、机床工业、水利水电等30多个行业。公司建立了完善的质量、环境、职业健康安全管理体系，并通过权威第三方机构认证，确保产品和服务的高标准和高质量。</w:t>
      </w:r>
    </w:p>
    <w:p w14:paraId="45DA09B0">
      <w:pPr>
        <w:pStyle w:val="3"/>
        <w:numPr>
          <w:ilvl w:val="0"/>
          <w:numId w:val="2"/>
        </w:numPr>
        <w:topLinePunct w:val="0"/>
        <w:ind w:left="0" w:leftChars="0" w:firstLine="0" w:firstLineChars="0"/>
        <w:rPr>
          <w:b w:val="0"/>
        </w:rPr>
      </w:pPr>
      <w:bookmarkStart w:id="4" w:name="_Toc14687"/>
      <w:bookmarkStart w:id="5" w:name="_Toc14310"/>
      <w:r>
        <w:t>公司治理结构</w:t>
      </w:r>
      <w:bookmarkEnd w:id="4"/>
      <w:bookmarkEnd w:id="5"/>
    </w:p>
    <w:p w14:paraId="12AC4D60">
      <w:pPr>
        <w:pStyle w:val="11"/>
        <w:rPr>
          <w:color w:val="auto"/>
        </w:rPr>
      </w:pPr>
      <w:r>
        <w:rPr>
          <w:color w:val="auto"/>
        </w:rPr>
        <w:t>企业遵循《</w:t>
      </w:r>
      <w:r>
        <w:rPr>
          <w:rFonts w:hint="eastAsia"/>
          <w:color w:val="auto"/>
          <w:lang w:eastAsia="zh-CN"/>
        </w:rPr>
        <w:t>中华人民共和国公司法</w:t>
      </w:r>
      <w:r>
        <w:rPr>
          <w:color w:val="auto"/>
        </w:rPr>
        <w:t>》及《公司章程》的规定，建立了以“三会一层”为主体的规范治理架构。股东会、董事会、监事会、管理层分工明确、职责清晰。</w:t>
      </w:r>
      <w:r>
        <w:rPr>
          <w:rFonts w:hint="eastAsia"/>
          <w:color w:val="auto"/>
          <w:lang w:eastAsia="zh-CN"/>
        </w:rPr>
        <w:t>构建了一个权力、执行、监督机构各司其职、有效制衡、相互协作的运作体系，</w:t>
      </w:r>
      <w:r>
        <w:rPr>
          <w:color w:val="auto"/>
        </w:rPr>
        <w:t>致力于为股东不断带来优秀的投资收益并推动股东价值的持续增长。</w:t>
      </w:r>
    </w:p>
    <w:p w14:paraId="23ACFDD6">
      <w:pPr>
        <w:pStyle w:val="2"/>
        <w:numPr>
          <w:ilvl w:val="0"/>
          <w:numId w:val="1"/>
        </w:numPr>
        <w:topLinePunct w:val="0"/>
        <w:ind w:left="0" w:leftChars="0" w:firstLine="0" w:firstLineChars="0"/>
        <w:rPr>
          <w:b w:val="0"/>
        </w:rPr>
      </w:pPr>
      <w:bookmarkStart w:id="6" w:name="_Toc31400"/>
      <w:bookmarkStart w:id="7" w:name="_Toc32126"/>
      <w:r>
        <w:t>公司对社会责任的认识</w:t>
      </w:r>
      <w:bookmarkEnd w:id="6"/>
      <w:bookmarkEnd w:id="7"/>
    </w:p>
    <w:p w14:paraId="6D230243">
      <w:pPr>
        <w:pStyle w:val="11"/>
        <w:rPr>
          <w:color w:val="auto"/>
        </w:rPr>
      </w:pPr>
      <w:r>
        <w:rPr>
          <w:color w:val="auto"/>
        </w:rPr>
        <w:t>企业社会责任是公司管理理念的重要组成部分，其意义同样在企业文化中得到体现。</w:t>
      </w:r>
      <w:r>
        <w:rPr>
          <w:rFonts w:hint="eastAsia"/>
          <w:color w:val="auto"/>
          <w:lang w:eastAsia="zh-CN"/>
        </w:rPr>
        <w:t>公司深信，在致力于长期稳健经营、对股东负责并努力追求利润最大化的同时，亦需积极承担起对利益相关方和社会的责任，</w:t>
      </w:r>
      <w:r>
        <w:rPr>
          <w:color w:val="auto"/>
        </w:rPr>
        <w:t>以促进企业与经济社会的可持续发展。积极履行社会责任，不仅有助于公司提升价值，实现向现代高新技术企业的转型，也是贯彻以人为本的科学发展观，构建社会主义和谐社会的实践表现。</w:t>
      </w:r>
    </w:p>
    <w:p w14:paraId="57EDE2B1">
      <w:pPr>
        <w:pStyle w:val="11"/>
        <w:rPr>
          <w:color w:val="auto"/>
        </w:rPr>
      </w:pPr>
      <w:r>
        <w:rPr>
          <w:color w:val="auto"/>
        </w:rPr>
        <w:t>公司秉持“诚信为本、注重实效、持续改进、勇于创新”的</w:t>
      </w:r>
      <w:r>
        <w:rPr>
          <w:rFonts w:hint="eastAsia"/>
          <w:color w:val="auto"/>
          <w:lang w:eastAsia="zh-CN"/>
        </w:rPr>
        <w:t>社会主义核心价值观</w:t>
      </w:r>
      <w:r>
        <w:rPr>
          <w:color w:val="auto"/>
        </w:rPr>
        <w:t>，并致力于将自身打造成为“主营业务突出、治理结构健全、运营规范、业绩优秀、具备市场竞争力和高质量发展”的上市公司。公司把推动社会和谐发展视为己任，通过实施科学发展观，将高质量发展和构建和谐社会的理念深度融入企业文化，致力于更好地服务消费者，为利益相关者创造更多价值。公司在发展过程中不断追求与员工、社会、自然的和谐共进，重视生产过程的节能和环保，尽最大努力保护生态环境，以实际行动回馈社会、保护环境、关爱自然，履行社会责任。</w:t>
      </w:r>
    </w:p>
    <w:p w14:paraId="797D0B79">
      <w:pPr>
        <w:pStyle w:val="2"/>
        <w:numPr>
          <w:ilvl w:val="0"/>
          <w:numId w:val="1"/>
        </w:numPr>
        <w:topLinePunct w:val="0"/>
        <w:ind w:left="0" w:leftChars="0" w:firstLine="0" w:firstLineChars="0"/>
        <w:rPr>
          <w:b w:val="0"/>
        </w:rPr>
      </w:pPr>
      <w:bookmarkStart w:id="8" w:name="_Toc26794"/>
      <w:bookmarkStart w:id="9" w:name="_Toc6956"/>
      <w:r>
        <w:t>在促进经济可持续发展方面履行的社会责任</w:t>
      </w:r>
      <w:bookmarkEnd w:id="8"/>
      <w:bookmarkEnd w:id="9"/>
    </w:p>
    <w:p w14:paraId="0C0DCE2B">
      <w:pPr>
        <w:pStyle w:val="3"/>
        <w:numPr>
          <w:ilvl w:val="0"/>
          <w:numId w:val="3"/>
        </w:numPr>
        <w:topLinePunct w:val="0"/>
        <w:ind w:left="0" w:leftChars="0" w:firstLine="0" w:firstLineChars="0"/>
        <w:rPr>
          <w:b w:val="0"/>
        </w:rPr>
      </w:pPr>
      <w:bookmarkStart w:id="10" w:name="_Toc4140"/>
      <w:r>
        <w:t>合法合规经营</w:t>
      </w:r>
      <w:bookmarkEnd w:id="10"/>
    </w:p>
    <w:p w14:paraId="190E73C4">
      <w:pPr>
        <w:pStyle w:val="11"/>
        <w:rPr>
          <w:color w:val="auto"/>
        </w:rPr>
      </w:pPr>
      <w:r>
        <w:rPr>
          <w:color w:val="auto"/>
        </w:rPr>
        <w:t>企业持续优化治理结构和内部制度，明确董事、监事、管理层的法律责任和义务；股东大会是最高权力机构，董事会负责决策，经理层执行日常经营，公司采用扁平化组织模式提升效率和竞争力。</w:t>
      </w:r>
    </w:p>
    <w:p w14:paraId="3A159830">
      <w:pPr>
        <w:pStyle w:val="11"/>
        <w:rPr>
          <w:color w:val="auto"/>
        </w:rPr>
      </w:pPr>
      <w:r>
        <w:rPr>
          <w:color w:val="auto"/>
        </w:rPr>
        <w:t>公司坚持合法经营，诚信纳税，遵守法律和道德责任。依据《</w:t>
      </w:r>
      <w:r>
        <w:rPr>
          <w:rFonts w:hint="eastAsia"/>
          <w:color w:val="auto"/>
          <w:lang w:eastAsia="zh-CN"/>
        </w:rPr>
        <w:t>中华人民共和国公司法</w:t>
      </w:r>
      <w:r>
        <w:rPr>
          <w:color w:val="auto"/>
        </w:rPr>
        <w:t>》等法规保护消费者、环境和职工权益，定期审计内部管理以维护各方利益。</w:t>
      </w:r>
    </w:p>
    <w:p w14:paraId="6C7D21DD">
      <w:pPr>
        <w:pStyle w:val="3"/>
        <w:numPr>
          <w:ilvl w:val="0"/>
          <w:numId w:val="3"/>
        </w:numPr>
        <w:topLinePunct w:val="0"/>
        <w:ind w:left="0" w:leftChars="0" w:firstLine="0" w:firstLineChars="0"/>
        <w:rPr>
          <w:b w:val="0"/>
        </w:rPr>
      </w:pPr>
      <w:bookmarkStart w:id="11" w:name="_Toc15041"/>
      <w:r>
        <w:t>依法诚信纳税</w:t>
      </w:r>
      <w:bookmarkEnd w:id="11"/>
    </w:p>
    <w:p w14:paraId="310FFDDA">
      <w:pPr>
        <w:pStyle w:val="11"/>
        <w:rPr>
          <w:rFonts w:hint="eastAsia" w:eastAsia="宋体"/>
          <w:color w:val="auto"/>
          <w:lang w:eastAsia="zh-CN"/>
        </w:rPr>
      </w:pPr>
      <w:r>
        <w:rPr>
          <w:rFonts w:hint="eastAsia"/>
          <w:color w:val="auto"/>
          <w:lang w:eastAsia="zh-CN"/>
        </w:rPr>
        <w:t>企业依法纳税是履行社会责任，促进国家财政增长和经济发展的关键。高层领导矢志不渝地坚持诚信为本的经营理念，广泛普及法律法规知识，精心构建法律文库，细致制定员工行为规范，严格确保合同合法合规，全力维护公司良好的信用形象。审计部全面监控项目招标和外购流程，积极推行廉洁自律制度，持续优化考核办法，不断强化廉洁自律意识。</w:t>
      </w:r>
    </w:p>
    <w:p w14:paraId="324BEAE2">
      <w:pPr>
        <w:pStyle w:val="3"/>
        <w:numPr>
          <w:ilvl w:val="0"/>
          <w:numId w:val="3"/>
        </w:numPr>
        <w:topLinePunct w:val="0"/>
        <w:ind w:left="0" w:leftChars="0" w:firstLine="0" w:firstLineChars="0"/>
        <w:rPr>
          <w:b w:val="0"/>
        </w:rPr>
      </w:pPr>
      <w:bookmarkStart w:id="12" w:name="_Toc13518"/>
      <w:bookmarkStart w:id="13" w:name="_Toc822"/>
      <w:r>
        <w:t>按时披露信息</w:t>
      </w:r>
      <w:bookmarkEnd w:id="12"/>
      <w:bookmarkEnd w:id="13"/>
    </w:p>
    <w:p w14:paraId="63562573">
      <w:pPr>
        <w:pStyle w:val="4"/>
        <w:numPr>
          <w:ilvl w:val="0"/>
          <w:numId w:val="4"/>
        </w:numPr>
        <w:ind w:left="0" w:leftChars="0" w:firstLine="0" w:firstLineChars="0"/>
        <w:rPr>
          <w:b w:val="0"/>
        </w:rPr>
      </w:pPr>
      <w:r>
        <w:t>股东与股东大会</w:t>
      </w:r>
    </w:p>
    <w:p w14:paraId="094E5BD1">
      <w:pPr>
        <w:pStyle w:val="11"/>
        <w:rPr>
          <w:color w:val="auto"/>
        </w:rPr>
      </w:pPr>
      <w:r>
        <w:rPr>
          <w:color w:val="auto"/>
        </w:rPr>
        <w:t>公司依据《公司章程》和《股东大会议事规则</w:t>
      </w:r>
      <w:r>
        <w:rPr>
          <w:rFonts w:hint="eastAsia"/>
          <w:color w:val="auto"/>
          <w:lang w:eastAsia="zh-CN"/>
        </w:rPr>
        <w:t>》的</w:t>
      </w:r>
      <w:r>
        <w:rPr>
          <w:color w:val="auto"/>
        </w:rPr>
        <w:t>规定，规范召集和召开股东大会。所有股东大会均由董事会召集，表决程序合法，律师出具法律意见书，确保中小股东平等权利。</w:t>
      </w:r>
    </w:p>
    <w:p w14:paraId="06CB518A">
      <w:pPr>
        <w:pStyle w:val="4"/>
        <w:numPr>
          <w:ilvl w:val="0"/>
          <w:numId w:val="4"/>
        </w:numPr>
        <w:ind w:left="0" w:leftChars="0" w:firstLine="0" w:firstLineChars="0"/>
        <w:rPr>
          <w:b w:val="0"/>
        </w:rPr>
      </w:pPr>
      <w:r>
        <w:t>控股股东与上市公</w:t>
      </w:r>
      <w:r>
        <w:rPr>
          <w:rFonts w:hint="eastAsia"/>
          <w:lang w:eastAsia="zh-CN"/>
        </w:rPr>
        <w:t>司的</w:t>
      </w:r>
      <w:r>
        <w:t>关系</w:t>
      </w:r>
    </w:p>
    <w:p w14:paraId="616B083C">
      <w:pPr>
        <w:pStyle w:val="11"/>
        <w:rPr>
          <w:color w:val="auto"/>
        </w:rPr>
      </w:pPr>
      <w:r>
        <w:rPr>
          <w:color w:val="auto"/>
        </w:rPr>
        <w:t>报告期内，控股股东依法行使权利，未干预公司经营决策。公司业务、资产、人员、机构、财务独立，董事会、监事会和内部机构运作独立。关联交易定价公允，关联股东、董事在审议时回避表决。</w:t>
      </w:r>
    </w:p>
    <w:p w14:paraId="1A09732C">
      <w:pPr>
        <w:pStyle w:val="4"/>
        <w:numPr>
          <w:ilvl w:val="0"/>
          <w:numId w:val="4"/>
        </w:numPr>
        <w:ind w:left="0" w:leftChars="0" w:firstLine="0" w:firstLineChars="0"/>
        <w:rPr>
          <w:b w:val="0"/>
        </w:rPr>
      </w:pPr>
      <w:r>
        <w:t>董事会</w:t>
      </w:r>
    </w:p>
    <w:p w14:paraId="1A4BF496">
      <w:pPr>
        <w:pStyle w:val="11"/>
        <w:rPr>
          <w:color w:val="auto"/>
        </w:rPr>
      </w:pPr>
      <w:r>
        <w:rPr>
          <w:color w:val="auto"/>
        </w:rPr>
        <w:t>报告期内，公司依据《</w:t>
      </w:r>
      <w:r>
        <w:rPr>
          <w:rFonts w:hint="eastAsia"/>
          <w:color w:val="auto"/>
          <w:lang w:eastAsia="zh-CN"/>
        </w:rPr>
        <w:t>中华人民共和国公司法</w:t>
      </w:r>
      <w:r>
        <w:rPr>
          <w:color w:val="auto"/>
        </w:rPr>
        <w:t>》和《公司章程》规范选举董事，董事认真履行职责，出席董事会和股东大会，参加培训提高业务知识。董事会会议程序规范，独立董事独立履行职责。</w:t>
      </w:r>
    </w:p>
    <w:p w14:paraId="2E16C10A">
      <w:pPr>
        <w:pStyle w:val="4"/>
        <w:numPr>
          <w:ilvl w:val="0"/>
          <w:numId w:val="4"/>
        </w:numPr>
        <w:ind w:left="0" w:leftChars="0" w:firstLine="0" w:firstLineChars="0"/>
        <w:rPr>
          <w:b w:val="0"/>
        </w:rPr>
      </w:pPr>
      <w:r>
        <w:t>监事会</w:t>
      </w:r>
    </w:p>
    <w:p w14:paraId="720A34E0">
      <w:pPr>
        <w:pStyle w:val="11"/>
        <w:rPr>
          <w:color w:val="auto"/>
        </w:rPr>
      </w:pPr>
      <w:r>
        <w:rPr>
          <w:color w:val="auto"/>
        </w:rPr>
        <w:t>报告期内，监事会依据《公司章程》和《监事会议事规则》规范召开，监事认真履行职责，监督公司重大事项、关联交易、财务状况，维护公司及股东权益。</w:t>
      </w:r>
    </w:p>
    <w:p w14:paraId="72546AE0">
      <w:pPr>
        <w:pStyle w:val="4"/>
        <w:numPr>
          <w:ilvl w:val="0"/>
          <w:numId w:val="4"/>
        </w:numPr>
        <w:ind w:left="0" w:leftChars="0" w:firstLine="0" w:firstLineChars="0"/>
        <w:rPr>
          <w:b w:val="0"/>
        </w:rPr>
      </w:pPr>
      <w:r>
        <w:t>信息披露</w:t>
      </w:r>
    </w:p>
    <w:p w14:paraId="11E8F3B5">
      <w:pPr>
        <w:pStyle w:val="11"/>
        <w:rPr>
          <w:rFonts w:hint="eastAsia" w:eastAsia="宋体"/>
          <w:color w:val="auto"/>
          <w:lang w:eastAsia="zh-CN"/>
        </w:rPr>
      </w:pPr>
      <w:r>
        <w:rPr>
          <w:color w:val="auto"/>
        </w:rPr>
        <w:t>公司修订内部控制规章制度，完善公司治理结构，建立内部控制制度，提升规范运作水平。</w:t>
      </w:r>
      <w:r>
        <w:rPr>
          <w:rFonts w:hint="eastAsia"/>
          <w:color w:val="auto"/>
          <w:lang w:eastAsia="zh-CN"/>
        </w:rPr>
        <w:t>信息披露制度健全且高效，通过多元化的沟通渠道确保信息流动的畅通无阻。</w:t>
      </w:r>
    </w:p>
    <w:p w14:paraId="2B103802">
      <w:pPr>
        <w:pStyle w:val="3"/>
        <w:numPr>
          <w:ilvl w:val="0"/>
          <w:numId w:val="3"/>
        </w:numPr>
        <w:topLinePunct w:val="0"/>
        <w:ind w:left="0" w:leftChars="0" w:firstLine="0" w:firstLineChars="0"/>
        <w:rPr>
          <w:b w:val="0"/>
        </w:rPr>
      </w:pPr>
      <w:bookmarkStart w:id="14" w:name="_Toc16134"/>
      <w:bookmarkStart w:id="15" w:name="_Toc25199"/>
      <w:r>
        <w:t>技术创新</w:t>
      </w:r>
      <w:bookmarkEnd w:id="14"/>
      <w:bookmarkEnd w:id="15"/>
    </w:p>
    <w:p w14:paraId="51A3CD2E">
      <w:pPr>
        <w:pStyle w:val="11"/>
        <w:rPr>
          <w:rFonts w:hint="eastAsia" w:eastAsia="宋体"/>
          <w:color w:val="auto"/>
          <w:lang w:eastAsia="zh-CN"/>
        </w:rPr>
      </w:pPr>
      <w:r>
        <w:rPr>
          <w:color w:val="auto"/>
        </w:rPr>
        <w:t>企业秉承“自主创新、全球设计”的研发战略，建立“1+N”全球研发模式，以国内研发团队为核心，与全球设计机构和高校合作，推动全球协同研发，引领时尚前沿。</w:t>
      </w:r>
      <w:r>
        <w:rPr>
          <w:rFonts w:hint="eastAsia"/>
          <w:color w:val="auto"/>
          <w:lang w:eastAsia="zh-CN"/>
        </w:rPr>
        <w:t>公司采取以内部培育为主，外部引进为辅的人才战略，构建了涵盖大专至博士学历的金字塔型人才梯队。</w:t>
      </w:r>
    </w:p>
    <w:p w14:paraId="528667DD">
      <w:pPr>
        <w:pStyle w:val="3"/>
        <w:numPr>
          <w:ilvl w:val="0"/>
          <w:numId w:val="3"/>
        </w:numPr>
        <w:topLinePunct w:val="0"/>
        <w:ind w:left="0" w:leftChars="0" w:firstLine="0" w:firstLineChars="0"/>
        <w:rPr>
          <w:b w:val="0"/>
        </w:rPr>
      </w:pPr>
      <w:bookmarkStart w:id="16" w:name="_Toc1701"/>
      <w:bookmarkStart w:id="17" w:name="_Toc10091"/>
      <w:r>
        <w:t>质量</w:t>
      </w:r>
      <w:bookmarkEnd w:id="16"/>
      <w:r>
        <w:t>保证</w:t>
      </w:r>
      <w:bookmarkEnd w:id="17"/>
    </w:p>
    <w:p w14:paraId="222F553C">
      <w:pPr>
        <w:pStyle w:val="11"/>
        <w:rPr>
          <w:rFonts w:hint="eastAsia" w:eastAsia="宋体"/>
          <w:color w:val="auto"/>
          <w:lang w:eastAsia="zh-CN"/>
        </w:rPr>
      </w:pPr>
      <w:r>
        <w:rPr>
          <w:color w:val="auto"/>
        </w:rPr>
        <w:t>本公司建立了完善的质量保障体系，具备了坚实的质量保障实力。</w:t>
      </w:r>
      <w:r>
        <w:rPr>
          <w:rFonts w:hint="eastAsia"/>
          <w:color w:val="auto"/>
          <w:lang w:eastAsia="zh-CN"/>
        </w:rPr>
        <w:t>我们引进了国内顶尖的生产设备，采用了先进的工艺流程，加之完备的试验与检测设施，使品牌赢得了广大公众的信赖与好评。</w:t>
      </w:r>
    </w:p>
    <w:p w14:paraId="3151F6B5">
      <w:pPr>
        <w:pStyle w:val="2"/>
        <w:numPr>
          <w:ilvl w:val="0"/>
          <w:numId w:val="1"/>
        </w:numPr>
        <w:topLinePunct w:val="0"/>
        <w:ind w:left="0" w:leftChars="0" w:firstLine="0" w:firstLineChars="0"/>
        <w:rPr>
          <w:b w:val="0"/>
        </w:rPr>
      </w:pPr>
      <w:bookmarkStart w:id="18" w:name="_Toc29474"/>
      <w:bookmarkStart w:id="19" w:name="_Toc19249"/>
      <w:r>
        <w:t>在促进环境及生态可持续发展方面履行的社会责任</w:t>
      </w:r>
      <w:bookmarkEnd w:id="18"/>
      <w:bookmarkEnd w:id="19"/>
    </w:p>
    <w:p w14:paraId="6FE8FF15">
      <w:pPr>
        <w:pStyle w:val="11"/>
        <w:rPr>
          <w:color w:val="auto"/>
        </w:rPr>
      </w:pPr>
      <w:r>
        <w:rPr>
          <w:color w:val="auto"/>
        </w:rPr>
        <w:t>公司严格评估并确定产品、服务和运营给社会带来的环境保护、能源消耗、资源综合利用、安全生产、产品安全、公共卫生等方面的影响，并针对相关风险，在生产服务运营中严格运行相关体系，确立满足和超越法律法规要求的关键过程、测量方法和指标，制定相应的对策和改进措施。</w:t>
      </w:r>
    </w:p>
    <w:p w14:paraId="2630005F">
      <w:pPr>
        <w:pStyle w:val="3"/>
        <w:numPr>
          <w:ilvl w:val="0"/>
          <w:numId w:val="5"/>
        </w:numPr>
        <w:topLinePunct w:val="0"/>
        <w:ind w:left="0" w:leftChars="0" w:firstLine="0" w:firstLineChars="0"/>
        <w:rPr>
          <w:b w:val="0"/>
        </w:rPr>
      </w:pPr>
      <w:bookmarkStart w:id="20" w:name="_Toc16656"/>
      <w:bookmarkStart w:id="21" w:name="_Toc30623"/>
      <w:r>
        <w:t>注重环境管理</w:t>
      </w:r>
      <w:bookmarkEnd w:id="20"/>
      <w:bookmarkEnd w:id="21"/>
    </w:p>
    <w:p w14:paraId="7DAB1F42">
      <w:pPr>
        <w:pStyle w:val="11"/>
        <w:rPr>
          <w:color w:val="auto"/>
        </w:rPr>
      </w:pPr>
      <w:r>
        <w:rPr>
          <w:rFonts w:hint="eastAsia"/>
          <w:color w:val="auto"/>
          <w:lang w:eastAsia="zh-CN"/>
        </w:rPr>
        <w:t>公司高度重视环保，积极践行节能减排，将资源节约型、环境友好型企业建设置于工作核心地位</w:t>
      </w:r>
      <w:r>
        <w:rPr>
          <w:color w:val="auto"/>
        </w:rPr>
        <w:t>，公司导入IS014001和IS050001标准，建立环境管理体系、能源管理体系；通过识别公司在生产过程中主要涉及的环境影响为</w:t>
      </w:r>
      <w:r>
        <w:rPr>
          <w:rFonts w:hint="eastAsia"/>
          <w:color w:val="auto"/>
          <w:lang w:eastAsia="zh-CN"/>
        </w:rPr>
        <w:t>：噪声</w:t>
      </w:r>
      <w:r>
        <w:rPr>
          <w:color w:val="auto"/>
        </w:rPr>
        <w:t>、污水、粉尘、废气、固废以及水电气的资源消耗；为此，</w:t>
      </w:r>
      <w:r>
        <w:rPr>
          <w:rFonts w:hint="eastAsia"/>
          <w:color w:val="auto"/>
          <w:lang w:eastAsia="zh-CN"/>
        </w:rPr>
        <w:t>通过细致分析环境因素，科学制定治理目标、指标及方案。</w:t>
      </w:r>
      <w:r>
        <w:rPr>
          <w:color w:val="auto"/>
        </w:rPr>
        <w:t>深入开展技术改造，推行结构优化升级，研发节能减排的新产品和新工艺，促使公司的产品升级换代，增强企业市场配套能力。</w:t>
      </w:r>
    </w:p>
    <w:p w14:paraId="0A061A0A">
      <w:pPr>
        <w:pStyle w:val="11"/>
        <w:rPr>
          <w:color w:val="auto"/>
        </w:rPr>
      </w:pPr>
      <w:r>
        <w:rPr>
          <w:color w:val="auto"/>
        </w:rPr>
        <w:t>2024年，公司未发生环境事故。</w:t>
      </w:r>
    </w:p>
    <w:p w14:paraId="353C41D1">
      <w:pPr>
        <w:pStyle w:val="3"/>
        <w:numPr>
          <w:ilvl w:val="0"/>
          <w:numId w:val="5"/>
        </w:numPr>
        <w:topLinePunct w:val="0"/>
        <w:ind w:left="0" w:leftChars="0" w:firstLine="0" w:firstLineChars="0"/>
        <w:rPr>
          <w:b w:val="0"/>
        </w:rPr>
      </w:pPr>
      <w:bookmarkStart w:id="22" w:name="_Toc6985"/>
      <w:r>
        <w:rPr>
          <w:rFonts w:hint="eastAsia"/>
          <w:lang w:eastAsia="zh-CN"/>
        </w:rPr>
        <w:t>强化能源及资源的综合高效利用</w:t>
      </w:r>
      <w:bookmarkEnd w:id="22"/>
    </w:p>
    <w:p w14:paraId="40130165">
      <w:pPr>
        <w:pStyle w:val="11"/>
        <w:rPr>
          <w:color w:val="auto"/>
        </w:rPr>
      </w:pPr>
      <w:r>
        <w:rPr>
          <w:color w:val="auto"/>
        </w:rPr>
        <w:t>公司始终贯彻国家节能减排的要求，降低资源能源的单位使用量，减少废弃物的排放量，</w:t>
      </w:r>
      <w:r>
        <w:rPr>
          <w:rFonts w:hint="eastAsia"/>
          <w:color w:val="auto"/>
          <w:lang w:eastAsia="zh-CN"/>
        </w:rPr>
        <w:t>同时，持续加大节能宣传力度，提升员工节能意识，进而促进企业能源利用效率的提高。</w:t>
      </w:r>
      <w:r>
        <w:rPr>
          <w:color w:val="auto"/>
        </w:rPr>
        <w:t>为此，公司建立能源管理体系，坚持“开发与节约并重、近期把节约放在优先地位”的节能减排方针，坚持绿色生产的理念，节能降耗见成效。公司制定了环境管理方案。</w:t>
      </w:r>
    </w:p>
    <w:p w14:paraId="31ACF0BA">
      <w:pPr>
        <w:pStyle w:val="2"/>
        <w:numPr>
          <w:ilvl w:val="0"/>
          <w:numId w:val="1"/>
        </w:numPr>
        <w:topLinePunct w:val="0"/>
        <w:ind w:left="0" w:leftChars="0" w:firstLine="0" w:firstLineChars="0"/>
        <w:rPr>
          <w:b w:val="0"/>
        </w:rPr>
      </w:pPr>
      <w:bookmarkStart w:id="23" w:name="_Toc14880"/>
      <w:bookmarkStart w:id="24" w:name="_Toc9434"/>
      <w:r>
        <w:t>在促进社会可持续发展方面履行的社会责任</w:t>
      </w:r>
      <w:bookmarkEnd w:id="23"/>
      <w:bookmarkEnd w:id="24"/>
    </w:p>
    <w:p w14:paraId="7ABB933D">
      <w:pPr>
        <w:pStyle w:val="3"/>
        <w:numPr>
          <w:ilvl w:val="0"/>
          <w:numId w:val="6"/>
        </w:numPr>
        <w:topLinePunct w:val="0"/>
        <w:ind w:left="0" w:leftChars="0" w:firstLine="0" w:firstLineChars="0"/>
        <w:rPr>
          <w:b w:val="0"/>
        </w:rPr>
      </w:pPr>
      <w:bookmarkStart w:id="25" w:name="_Toc15829"/>
      <w:bookmarkStart w:id="26" w:name="_Toc7206"/>
      <w:r>
        <w:t>提高员工满意度，保障员工权益</w:t>
      </w:r>
      <w:bookmarkEnd w:id="25"/>
      <w:bookmarkEnd w:id="26"/>
    </w:p>
    <w:p w14:paraId="0AB5369D">
      <w:pPr>
        <w:pStyle w:val="11"/>
        <w:rPr>
          <w:rFonts w:hint="eastAsia" w:eastAsia="宋体"/>
          <w:color w:val="auto"/>
          <w:lang w:eastAsia="zh-CN"/>
        </w:rPr>
      </w:pPr>
      <w:r>
        <w:rPr>
          <w:rFonts w:hint="eastAsia"/>
          <w:color w:val="auto"/>
          <w:lang w:eastAsia="zh-CN"/>
        </w:rPr>
        <w:t>为了营造宽松的工作环境、良好的团队氛围以及广阔的发展平台，公司着力实施事业吸引、待遇优待、情感关怀、环境优化等策略，并借助卓越的企业文化，激发并维系新员工，增强团队凝聚力，促使员工与公司共同进步。尤其是针对不同岗位类别，公司科学地设计了差异化的薪酬结构，大幅提升了绩效工资的比重，并全面提供了社会保险等福利保障，同时积极协助员工解决子女入学、家人就业等生活难题，从而真正实现了待遇优待与情感关怀的双重目标。</w:t>
      </w:r>
    </w:p>
    <w:p w14:paraId="4B259027">
      <w:pPr>
        <w:pStyle w:val="11"/>
        <w:rPr>
          <w:color w:val="auto"/>
        </w:rPr>
      </w:pPr>
      <w:r>
        <w:rPr>
          <w:color w:val="auto"/>
        </w:rPr>
        <w:t>公司为员工提供的津贴分为工作津贴、生活补助津贴、专项津贴共三大类。其中工作津贴包括特殊工种保健食品津贴；生活补助津贴包括午餐补贴</w:t>
      </w:r>
      <w:r>
        <w:rPr>
          <w:rFonts w:hint="eastAsia"/>
          <w:color w:val="auto"/>
          <w:lang w:eastAsia="zh-CN"/>
        </w:rPr>
        <w:t>：</w:t>
      </w:r>
      <w:r>
        <w:rPr>
          <w:color w:val="auto"/>
        </w:rPr>
        <w:t>专项津贴包括路程津贴、交通津贴、技能津贴等。此外，公司还专门设立了补充奖金基金，在公司完成总体绩效目标的情况下，对管理人员和骨干员工实施特殊奖励政策。</w:t>
      </w:r>
    </w:p>
    <w:p w14:paraId="0B2FF991">
      <w:pPr>
        <w:pStyle w:val="11"/>
        <w:rPr>
          <w:color w:val="auto"/>
        </w:rPr>
      </w:pPr>
      <w:r>
        <w:rPr>
          <w:color w:val="auto"/>
        </w:rPr>
        <w:t>在员工健康管理上，定期组织员工进行体检</w:t>
      </w:r>
      <w:r>
        <w:rPr>
          <w:rFonts w:hint="eastAsia"/>
          <w:color w:val="auto"/>
          <w:lang w:eastAsia="zh-CN"/>
        </w:rPr>
        <w:t>：</w:t>
      </w:r>
      <w:r>
        <w:rPr>
          <w:color w:val="auto"/>
        </w:rPr>
        <w:t>公司建立了多重疾病保障体系</w:t>
      </w:r>
      <w:r>
        <w:rPr>
          <w:rFonts w:hint="eastAsia"/>
          <w:color w:val="auto"/>
          <w:lang w:eastAsia="zh-CN"/>
        </w:rPr>
        <w:t>：</w:t>
      </w:r>
      <w:r>
        <w:rPr>
          <w:color w:val="auto"/>
        </w:rPr>
        <w:t>除基本医疗保险以外，还有“补充医疗保险”“爱心救助基金”，以及女员工“重大疾病保障”等。</w:t>
      </w:r>
    </w:p>
    <w:p w14:paraId="6EFFE51B">
      <w:pPr>
        <w:pStyle w:val="11"/>
        <w:rPr>
          <w:color w:val="auto"/>
        </w:rPr>
      </w:pPr>
      <w:r>
        <w:rPr>
          <w:color w:val="auto"/>
        </w:rPr>
        <w:t>根据《</w:t>
      </w:r>
      <w:r>
        <w:rPr>
          <w:rFonts w:hint="eastAsia"/>
          <w:color w:val="auto"/>
          <w:lang w:eastAsia="zh-CN"/>
        </w:rPr>
        <w:t>中华人民共和国劳动法</w:t>
      </w:r>
      <w:r>
        <w:rPr>
          <w:color w:val="auto"/>
        </w:rPr>
        <w:t>》等法律法规，公司建立了完善的人力资源管理制度，完善了包括社保、医保等在内的薪酬福利体系，从未拖欠员工工资和社保五险一金的缴纳。同时为员工提供安全、舒适的工作环境，关注员工身心健康，每年安排体检，组织与员工座谈开展文艺晚会，展示员工才艺，丰富业余生活，并为员工提供良好的培训和晋升渠道。</w:t>
      </w:r>
    </w:p>
    <w:p w14:paraId="11EDD197">
      <w:pPr>
        <w:pStyle w:val="3"/>
        <w:numPr>
          <w:ilvl w:val="0"/>
          <w:numId w:val="6"/>
        </w:numPr>
        <w:topLinePunct w:val="0"/>
        <w:ind w:left="0" w:leftChars="0" w:firstLine="0" w:firstLineChars="0"/>
        <w:rPr>
          <w:b w:val="0"/>
        </w:rPr>
      </w:pPr>
      <w:bookmarkStart w:id="27" w:name="_Toc6091"/>
      <w:bookmarkStart w:id="28" w:name="_Toc25911"/>
      <w:r>
        <w:t>强化员工培训，鼓励员工创新</w:t>
      </w:r>
      <w:bookmarkEnd w:id="27"/>
      <w:bookmarkEnd w:id="28"/>
    </w:p>
    <w:p w14:paraId="4F2C21C7">
      <w:pPr>
        <w:pStyle w:val="11"/>
        <w:rPr>
          <w:color w:val="auto"/>
        </w:rPr>
      </w:pPr>
      <w:r>
        <w:rPr>
          <w:color w:val="auto"/>
        </w:rPr>
        <w:t>公司建立了以战略、绩效、职业规划和人才储备培养为基础的教育培训机制。每年底人才发展中心汇总各部门的需求表，结合公司战略对绩效测量、改进和技术变化的</w:t>
      </w:r>
      <w:r>
        <w:rPr>
          <w:rFonts w:hint="eastAsia"/>
          <w:color w:val="auto"/>
          <w:lang w:eastAsia="zh-CN"/>
        </w:rPr>
        <w:t>要求</w:t>
      </w:r>
      <w:r>
        <w:rPr>
          <w:color w:val="auto"/>
        </w:rPr>
        <w:t>平衡公司发展和员工发展，审核、确定公司共同的培训</w:t>
      </w:r>
      <w:r>
        <w:rPr>
          <w:rFonts w:hint="eastAsia"/>
          <w:color w:val="auto"/>
          <w:lang w:eastAsia="zh-CN"/>
        </w:rPr>
        <w:t>需求</w:t>
      </w:r>
      <w:r>
        <w:rPr>
          <w:color w:val="auto"/>
        </w:rPr>
        <w:t>和部门专门的培</w:t>
      </w:r>
      <w:r>
        <w:rPr>
          <w:rFonts w:hint="eastAsia"/>
          <w:color w:val="auto"/>
          <w:lang w:eastAsia="zh-CN"/>
        </w:rPr>
        <w:t>训要</w:t>
      </w:r>
      <w:r>
        <w:rPr>
          <w:color w:val="auto"/>
        </w:rPr>
        <w:t>求，并纳入年度《业务计划》。公司根据计划，以增强追求卓越意识、提高技能、实现顾客满意为核心，</w:t>
      </w:r>
      <w:r>
        <w:rPr>
          <w:rFonts w:hint="eastAsia"/>
          <w:color w:val="auto"/>
          <w:lang w:eastAsia="zh-CN"/>
        </w:rPr>
        <w:t>将培训方式分为公司级、部门级和委外培训三大类，并根据培训内容的不同，细分为采购、仓储、环境/安全/能源、营销、质量、专岗、技术和财务等多个类别。</w:t>
      </w:r>
    </w:p>
    <w:p w14:paraId="65D7043D">
      <w:pPr>
        <w:pStyle w:val="11"/>
        <w:rPr>
          <w:color w:val="auto"/>
        </w:rPr>
      </w:pPr>
      <w:r>
        <w:rPr>
          <w:color w:val="auto"/>
        </w:rPr>
        <w:t>公司群众性管理和改进活动坚持“广泛动员、全员参与”原则，为提高员工参与管理和改进的积极性，制定出台了《合理化建议管理办法》等，</w:t>
      </w:r>
      <w:r>
        <w:rPr>
          <w:rFonts w:hint="eastAsia"/>
          <w:color w:val="auto"/>
          <w:lang w:eastAsia="zh-CN"/>
        </w:rPr>
        <w:t>为各项活动提供必要的资源，并对活动成果进行评定、认可和相应的激励。</w:t>
      </w:r>
      <w:r>
        <w:rPr>
          <w:color w:val="auto"/>
        </w:rPr>
        <w:t>在质量管理改进方面，</w:t>
      </w:r>
      <w:r>
        <w:rPr>
          <w:rFonts w:hint="eastAsia"/>
          <w:color w:val="auto"/>
          <w:lang w:eastAsia="zh-CN"/>
        </w:rPr>
        <w:t>将普通一线员工视为质量创新的‘生力军’，并将QC小组活动、合理化建议征集、五小创新活动以及各类创新竞赛作为推动全员参与质量提升的主要手段</w:t>
      </w:r>
      <w:r>
        <w:rPr>
          <w:color w:val="auto"/>
        </w:rPr>
        <w:t>，通过各类合理化建议排名等活动激发员工参与热情。在管理创新方面，公司鼓励员工特别是基层员工聚焦管理流程，积极献计献策，投稿发表。</w:t>
      </w:r>
    </w:p>
    <w:p w14:paraId="1A68575D">
      <w:pPr>
        <w:pStyle w:val="3"/>
        <w:numPr>
          <w:ilvl w:val="0"/>
          <w:numId w:val="6"/>
        </w:numPr>
        <w:topLinePunct w:val="0"/>
        <w:ind w:left="0" w:leftChars="0" w:firstLine="0" w:firstLineChars="0"/>
        <w:rPr>
          <w:b w:val="0"/>
        </w:rPr>
      </w:pPr>
      <w:bookmarkStart w:id="29" w:name="_Toc26972"/>
      <w:bookmarkStart w:id="30" w:name="_Toc31826"/>
      <w:r>
        <w:t>完善职业健康安全管理</w:t>
      </w:r>
      <w:bookmarkEnd w:id="29"/>
      <w:bookmarkEnd w:id="30"/>
    </w:p>
    <w:p w14:paraId="7205D481">
      <w:pPr>
        <w:pStyle w:val="11"/>
        <w:rPr>
          <w:color w:val="auto"/>
        </w:rPr>
      </w:pPr>
      <w:r>
        <w:rPr>
          <w:rFonts w:hint="eastAsia"/>
          <w:color w:val="auto"/>
          <w:lang w:eastAsia="zh-CN"/>
        </w:rPr>
        <w:t>公司始终致力于优化员工的工作环境，积极开展危险源辨识与风险评估工作，针对识别出的重大危险源，制定专项管理计划或实施技术改造以消除隐患。</w:t>
      </w:r>
      <w:r>
        <w:rPr>
          <w:color w:val="auto"/>
        </w:rPr>
        <w:t>公司作业现场存在的主要职业病危害因素有</w:t>
      </w:r>
      <w:r>
        <w:rPr>
          <w:rFonts w:hint="eastAsia"/>
          <w:color w:val="auto"/>
          <w:lang w:eastAsia="zh-CN"/>
        </w:rPr>
        <w:t>：</w:t>
      </w:r>
      <w:r>
        <w:rPr>
          <w:color w:val="auto"/>
        </w:rPr>
        <w:t>粉尘、噪声等。针对作业现场职业病危害因素，定期组织对作业现场职业病危害因素进行监测，并对监测结果及时进行公示。涉及职业病危害因素的工作场所，公司严格控制员工工作时间，年工作日约260天，实行白班制，每班工作8小时。另外，公司严格按规定发放劳动保护用品，并监督员工劳动保护用品的使用，同时，根据员工接触的职业病危害因素类别，每年组织职业健康体检。包括</w:t>
      </w:r>
      <w:r>
        <w:rPr>
          <w:rFonts w:hint="eastAsia"/>
          <w:color w:val="auto"/>
          <w:lang w:eastAsia="zh-CN"/>
        </w:rPr>
        <w:t>：</w:t>
      </w:r>
      <w:r>
        <w:rPr>
          <w:color w:val="auto"/>
        </w:rPr>
        <w:t>特种作业人员培训、劳防用品、特种设备检测、污水/废气/噪声的环境监测、职业健康体检和安全设施的投入和改造等。</w:t>
      </w:r>
    </w:p>
    <w:p w14:paraId="4444866C">
      <w:pPr>
        <w:pStyle w:val="11"/>
        <w:rPr>
          <w:color w:val="auto"/>
        </w:rPr>
      </w:pPr>
      <w:r>
        <w:rPr>
          <w:color w:val="auto"/>
        </w:rPr>
        <w:t>为确保公司生产安全和产品安全，减少生产作业的安全风险，公司尽最大努力避免和降低突发事件造成的损失，制定了应对各类突发事件的应急预案，如《火灾事故应急预案》《柴油泄漏环境保护应急</w:t>
      </w:r>
      <w:r>
        <w:rPr>
          <w:rFonts w:hint="eastAsia"/>
          <w:color w:val="auto"/>
          <w:lang w:eastAsia="zh-CN"/>
        </w:rPr>
        <w:t>救援</w:t>
      </w:r>
      <w:r>
        <w:rPr>
          <w:color w:val="auto"/>
        </w:rPr>
        <w:t>预案》《工伤事故应急救援预案》《危险化学品事故</w:t>
      </w:r>
      <w:r>
        <w:rPr>
          <w:rFonts w:hint="eastAsia"/>
          <w:color w:val="auto"/>
          <w:lang w:eastAsia="zh-CN"/>
        </w:rPr>
        <w:t>应急救援</w:t>
      </w:r>
      <w:r>
        <w:rPr>
          <w:color w:val="auto"/>
        </w:rPr>
        <w:t>预案》《防汛抗台</w:t>
      </w:r>
      <w:r>
        <w:rPr>
          <w:rFonts w:hint="eastAsia"/>
          <w:color w:val="auto"/>
          <w:lang w:eastAsia="zh-CN"/>
        </w:rPr>
        <w:t>应急救援</w:t>
      </w:r>
      <w:r>
        <w:rPr>
          <w:color w:val="auto"/>
        </w:rPr>
        <w:t>预案》等。</w:t>
      </w:r>
    </w:p>
    <w:p w14:paraId="0F314949">
      <w:pPr>
        <w:pStyle w:val="11"/>
        <w:rPr>
          <w:color w:val="auto"/>
        </w:rPr>
      </w:pPr>
      <w:r>
        <w:rPr>
          <w:color w:val="auto"/>
        </w:rPr>
        <w:t>公司树立“安全第一，预防为主，全员参与，持续发展”的理念，通过安全教育培训，建立过程管理程序和应急预案措施，控制各类事故发生，安全生产形势良好，近三年未发生人身健康、安全事故，未发生设备、设施</w:t>
      </w:r>
      <w:r>
        <w:rPr>
          <w:rFonts w:hint="eastAsia"/>
          <w:color w:val="auto"/>
          <w:lang w:eastAsia="zh-CN"/>
        </w:rPr>
        <w:t>事故</w:t>
      </w:r>
      <w:r>
        <w:rPr>
          <w:color w:val="auto"/>
        </w:rPr>
        <w:t>及重大损失，特殊岗位员工体检合格率三年来均达到100%。2024年，从事有职业危害的员工做好岗中体检，使他们能够全身心地投入工作。</w:t>
      </w:r>
    </w:p>
    <w:p w14:paraId="0DA29649">
      <w:pPr>
        <w:pStyle w:val="3"/>
        <w:numPr>
          <w:ilvl w:val="0"/>
          <w:numId w:val="6"/>
        </w:numPr>
        <w:topLinePunct w:val="0"/>
        <w:ind w:left="0" w:leftChars="0" w:firstLine="0" w:firstLineChars="0"/>
        <w:rPr>
          <w:b w:val="0"/>
        </w:rPr>
      </w:pPr>
      <w:bookmarkStart w:id="31" w:name="_Toc8841"/>
      <w:r>
        <w:rPr>
          <w:rFonts w:hint="eastAsia"/>
          <w:lang w:eastAsia="zh-CN"/>
        </w:rPr>
        <w:t>积极参与公益事业</w:t>
      </w:r>
      <w:bookmarkEnd w:id="31"/>
    </w:p>
    <w:p w14:paraId="161DA938">
      <w:pPr>
        <w:pStyle w:val="11"/>
        <w:rPr>
          <w:rFonts w:hint="eastAsia"/>
          <w:color w:val="auto"/>
          <w:lang w:eastAsia="zh-CN"/>
        </w:rPr>
      </w:pPr>
      <w:r>
        <w:rPr>
          <w:color w:val="auto"/>
        </w:rPr>
        <w:t>公司注重社会价值的创造，自觉履行社会责任，积极投身社会公益慈善事业，努力创造和谐的公共关系。公司始终坚持合法经营、依法纳税，促进当地的基本建设，</w:t>
      </w:r>
      <w:r>
        <w:rPr>
          <w:rFonts w:hint="eastAsia"/>
          <w:color w:val="auto"/>
          <w:lang w:eastAsia="zh-CN"/>
        </w:rPr>
        <w:t>在力所能及的范围内，对地方教育、文化、科学、卫生、扶贫济困等社会事业给予了积极支持，推动了当地的经济建设和社会发展。</w:t>
      </w:r>
      <w:r>
        <w:rPr>
          <w:color w:val="auto"/>
        </w:rPr>
        <w:t>公司将继续根据自身的实际情况，加大在社会公益事业方面提供的人力、物力和财力支持的力度，并逐步完善企业社会责任监督管理体系的建设。作为民营企业，</w:t>
      </w:r>
      <w:r>
        <w:rPr>
          <w:rFonts w:hint="eastAsia"/>
          <w:color w:val="auto"/>
          <w:lang w:eastAsia="zh-CN"/>
        </w:rPr>
        <w:t>公司深受国家各项政策的惠泽，回馈社会乃我们矢志不渝的宗旨。</w:t>
      </w:r>
    </w:p>
    <w:p w14:paraId="07DD1202">
      <w:pPr>
        <w:pStyle w:val="2"/>
        <w:numPr>
          <w:ilvl w:val="0"/>
          <w:numId w:val="1"/>
        </w:numPr>
        <w:topLinePunct w:val="0"/>
        <w:ind w:left="0" w:leftChars="0" w:firstLine="0" w:firstLineChars="0"/>
        <w:rPr>
          <w:b w:val="0"/>
        </w:rPr>
      </w:pPr>
      <w:bookmarkStart w:id="32" w:name="_Toc29091"/>
      <w:bookmarkStart w:id="33" w:name="_Toc26113"/>
      <w:r>
        <w:t>2025年展望</w:t>
      </w:r>
      <w:bookmarkEnd w:id="32"/>
      <w:bookmarkEnd w:id="33"/>
    </w:p>
    <w:p w14:paraId="296320E9">
      <w:pPr>
        <w:pStyle w:val="11"/>
        <w:rPr>
          <w:rFonts w:hint="eastAsia" w:eastAsia="宋体"/>
          <w:color w:val="auto"/>
          <w:lang w:eastAsia="zh-CN"/>
        </w:rPr>
      </w:pPr>
      <w:r>
        <w:rPr>
          <w:rFonts w:hint="eastAsia"/>
          <w:color w:val="auto"/>
          <w:lang w:eastAsia="zh-CN"/>
        </w:rPr>
        <w:t>展望未来，嘉善欧本轴承有限公司将继续深化技术创新，加大研发投入，致力于开发更高效、更环保的轴承产品，以满足不同行业客户的多样化需求。同时，公司也将积极拓展国内外市场，加强与全球合作伙伴的交流与合作，共同推动轴承行业的进步与发展。我们相信，在全体员工的共同努力下，嘉善欧本轴承有限公司将迎来更加辉煌的明天，为社会贡献更多的力量。</w:t>
      </w:r>
    </w:p>
    <w:p w14:paraId="04C5986B">
      <w:pPr>
        <w:ind w:left="0" w:leftChars="0" w:firstLine="0" w:firstLineChars="0"/>
        <w:jc w:val="right"/>
        <w:rPr>
          <w:rFonts w:hint="eastAsia"/>
          <w:color w:val="auto"/>
          <w:lang w:val="en-US" w:eastAsia="zh-CN"/>
        </w:rPr>
      </w:pPr>
    </w:p>
    <w:p w14:paraId="59459162">
      <w:pPr>
        <w:ind w:left="0" w:leftChars="0" w:firstLine="0" w:firstLineChars="0"/>
        <w:jc w:val="right"/>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嘉善欧本轴承有限公司</w:t>
      </w:r>
    </w:p>
    <w:p w14:paraId="79EF714F">
      <w:pPr>
        <w:ind w:left="0" w:leftChars="0" w:firstLine="0" w:firstLineChars="0"/>
        <w:jc w:val="righ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2025年1月</w:t>
      </w:r>
      <w:r>
        <w:rPr>
          <w:rFonts w:hint="eastAsia" w:cs="Times New Roman"/>
          <w:color w:val="auto"/>
          <w:sz w:val="24"/>
          <w:szCs w:val="24"/>
          <w:lang w:val="en-US" w:eastAsia="zh-CN"/>
        </w:rPr>
        <w:t>21</w:t>
      </w:r>
      <w:r>
        <w:rPr>
          <w:rFonts w:hint="eastAsia" w:ascii="Times New Roman" w:hAnsi="Times New Roman" w:eastAsia="宋体" w:cs="Times New Roman"/>
          <w:color w:val="auto"/>
          <w:sz w:val="24"/>
          <w:szCs w:val="24"/>
          <w:lang w:val="en-US" w:eastAsia="zh-CN"/>
        </w:rPr>
        <w:t>日</w:t>
      </w:r>
    </w:p>
    <w:sectPr>
      <w:footerReference r:id="rId8" w:type="default"/>
      <w:pgSz w:w="11906" w:h="16838"/>
      <w:pgMar w:top="1440" w:right="1800" w:bottom="1440" w:left="1800" w:header="794"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7E5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DE6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7685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07685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748D">
    <w:pPr>
      <w:pStyle w:val="13"/>
      <w:pBdr>
        <w:bottom w:val="none" w:color="auto" w:sz="0" w:space="1"/>
      </w:pBdr>
      <w:jc w:val="right"/>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8FB0">
    <w:pPr>
      <w:pStyle w:val="13"/>
      <w:pBdr>
        <w:bottom w:val="single" w:color="auto" w:sz="4" w:space="1"/>
      </w:pBdr>
      <w:ind w:left="0" w:leftChars="0" w:right="0" w:rightChars="0" w:firstLine="0" w:firstLineChars="0"/>
      <w:jc w:val="center"/>
      <w:rPr>
        <w:rFonts w:hint="default" w:eastAsiaTheme="minorEastAsia"/>
        <w:lang w:val="en-US" w:eastAsia="zh-CN"/>
      </w:rPr>
    </w:pPr>
    <w:r>
      <w:rPr>
        <w:rFonts w:hint="eastAsia"/>
        <w:color w:val="auto"/>
        <w:lang w:val="en-US" w:eastAsia="zh-CN"/>
      </w:rPr>
      <w:t>嘉善欧本轴承有限公司</w:t>
    </w:r>
    <w:r>
      <w:rPr>
        <w:rFonts w:hint="eastAsia"/>
        <w:lang w:val="en-US" w:eastAsia="zh-CN"/>
      </w:rPr>
      <w:t>社会责任报告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B53D"/>
    <w:multiLevelType w:val="singleLevel"/>
    <w:tmpl w:val="8632B53D"/>
    <w:lvl w:ilvl="0" w:tentative="0">
      <w:start w:val="1"/>
      <w:numFmt w:val="chineseCounting"/>
      <w:suff w:val="nothing"/>
      <w:lvlText w:val="（%1）"/>
      <w:lvlJc w:val="left"/>
      <w:pPr>
        <w:ind w:left="0" w:firstLine="0"/>
      </w:pPr>
      <w:rPr>
        <w:rFonts w:hint="eastAsia"/>
      </w:rPr>
    </w:lvl>
  </w:abstractNum>
  <w:abstractNum w:abstractNumId="1">
    <w:nsid w:val="D1F5DF79"/>
    <w:multiLevelType w:val="singleLevel"/>
    <w:tmpl w:val="D1F5DF79"/>
    <w:lvl w:ilvl="0" w:tentative="0">
      <w:start w:val="1"/>
      <w:numFmt w:val="chineseCounting"/>
      <w:suff w:val="nothing"/>
      <w:lvlText w:val="（%1）"/>
      <w:lvlJc w:val="left"/>
      <w:pPr>
        <w:ind w:left="0" w:firstLine="0"/>
      </w:pPr>
      <w:rPr>
        <w:rFonts w:hint="eastAsia"/>
      </w:rPr>
    </w:lvl>
  </w:abstractNum>
  <w:abstractNum w:abstractNumId="2">
    <w:nsid w:val="130AE8F0"/>
    <w:multiLevelType w:val="singleLevel"/>
    <w:tmpl w:val="130AE8F0"/>
    <w:lvl w:ilvl="0" w:tentative="0">
      <w:start w:val="1"/>
      <w:numFmt w:val="chineseCounting"/>
      <w:suff w:val="nothing"/>
      <w:lvlText w:val="（%1）"/>
      <w:lvlJc w:val="left"/>
      <w:pPr>
        <w:ind w:left="0" w:firstLine="0"/>
      </w:pPr>
      <w:rPr>
        <w:rFonts w:hint="eastAsia"/>
      </w:rPr>
    </w:lvl>
  </w:abstractNum>
  <w:abstractNum w:abstractNumId="3">
    <w:nsid w:val="27226444"/>
    <w:multiLevelType w:val="singleLevel"/>
    <w:tmpl w:val="27226444"/>
    <w:lvl w:ilvl="0" w:tentative="0">
      <w:start w:val="1"/>
      <w:numFmt w:val="chineseCounting"/>
      <w:suff w:val="nothing"/>
      <w:lvlText w:val="%1、"/>
      <w:lvlJc w:val="left"/>
      <w:pPr>
        <w:ind w:left="0" w:firstLine="0"/>
      </w:pPr>
      <w:rPr>
        <w:rFonts w:hint="eastAsia"/>
      </w:rPr>
    </w:lvl>
  </w:abstractNum>
  <w:abstractNum w:abstractNumId="4">
    <w:nsid w:val="4047F8FF"/>
    <w:multiLevelType w:val="singleLevel"/>
    <w:tmpl w:val="4047F8FF"/>
    <w:lvl w:ilvl="0" w:tentative="0">
      <w:start w:val="1"/>
      <w:numFmt w:val="decimal"/>
      <w:suff w:val="space"/>
      <w:lvlText w:val="%1."/>
      <w:lvlJc w:val="left"/>
      <w:pPr>
        <w:ind w:left="0" w:firstLine="0"/>
      </w:pPr>
      <w:rPr>
        <w:rFonts w:hint="default"/>
      </w:rPr>
    </w:lvl>
  </w:abstractNum>
  <w:abstractNum w:abstractNumId="5">
    <w:nsid w:val="52E110D1"/>
    <w:multiLevelType w:val="singleLevel"/>
    <w:tmpl w:val="52E110D1"/>
    <w:lvl w:ilvl="0" w:tentative="0">
      <w:start w:val="1"/>
      <w:numFmt w:val="chineseCounting"/>
      <w:suff w:val="nothing"/>
      <w:lvlText w:val="（%1）"/>
      <w:lvlJc w:val="left"/>
      <w:pPr>
        <w:ind w:left="0" w:firstLine="0"/>
      </w:pPr>
      <w:rPr>
        <w:rFonts w:hint="eastAsia"/>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WE4ZDYxY2ZjMTI4NTA3ZmUzNWQzOTAwNmM3YTEifQ=="/>
    <w:docVar w:name="KSO_WPS_MARK_KEY" w:val="e39f4ff1-b377-436b-b667-f93e375f9804"/>
  </w:docVars>
  <w:rsids>
    <w:rsidRoot w:val="78645ED5"/>
    <w:rsid w:val="0ADB7197"/>
    <w:rsid w:val="1C3B7A96"/>
    <w:rsid w:val="1E016615"/>
    <w:rsid w:val="1FC81641"/>
    <w:rsid w:val="20E476A6"/>
    <w:rsid w:val="37EA7F4A"/>
    <w:rsid w:val="391C32AC"/>
    <w:rsid w:val="3EC02B38"/>
    <w:rsid w:val="3FD21416"/>
    <w:rsid w:val="4CDB38C1"/>
    <w:rsid w:val="4CFC1027"/>
    <w:rsid w:val="549D0CD7"/>
    <w:rsid w:val="59897D4B"/>
    <w:rsid w:val="5C0476A0"/>
    <w:rsid w:val="5CAB1AF3"/>
    <w:rsid w:val="660322E6"/>
    <w:rsid w:val="67F84128"/>
    <w:rsid w:val="68F81A80"/>
    <w:rsid w:val="69066613"/>
    <w:rsid w:val="692279D3"/>
    <w:rsid w:val="694A4441"/>
    <w:rsid w:val="6AC95651"/>
    <w:rsid w:val="72C232D4"/>
    <w:rsid w:val="78645ED5"/>
    <w:rsid w:val="7BE56F67"/>
    <w:rsid w:val="7C015823"/>
    <w:rsid w:val="7EED3071"/>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800" w:firstLineChars="200"/>
      <w:jc w:val="both"/>
    </w:pPr>
    <w:rPr>
      <w:rFonts w:ascii="Times New Roman" w:hAnsi="Times New Roman" w:eastAsia="宋体" w:cstheme="minorBidi"/>
      <w:kern w:val="2"/>
      <w:sz w:val="24"/>
      <w:szCs w:val="24"/>
      <w:lang w:val="en-US" w:eastAsia="zh-CN" w:bidi="ar-SA"/>
    </w:rPr>
  </w:style>
  <w:style w:type="paragraph" w:styleId="2">
    <w:name w:val="heading 1"/>
    <w:next w:val="1"/>
    <w:link w:val="2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toc 2"/>
    <w:basedOn w:val="1"/>
    <w:next w:val="1"/>
    <w:qFormat/>
    <w:uiPriority w:val="0"/>
    <w:pPr>
      <w:ind w:left="420" w:leftChars="200"/>
    </w:pPr>
  </w:style>
  <w:style w:type="paragraph" w:styleId="17">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Char"/>
    <w:link w:val="2"/>
    <w:qFormat/>
    <w:uiPriority w:val="0"/>
    <w:rPr>
      <w:rFonts w:ascii="Times New Roman" w:hAnsi="Times New Roman" w:eastAsia="黑体"/>
      <w:b/>
      <w:kern w:val="44"/>
      <w:sz w:val="30"/>
    </w:rPr>
  </w:style>
  <w:style w:type="paragraph" w:customStyle="1" w:styleId="22">
    <w:name w:val="表格内容"/>
    <w:basedOn w:val="1"/>
    <w:qFormat/>
    <w:uiPriority w:val="0"/>
    <w:pPr>
      <w:spacing w:line="240" w:lineRule="auto"/>
      <w:ind w:firstLine="0" w:firstLineChars="0"/>
      <w:jc w:val="center"/>
    </w:pPr>
    <w:rPr>
      <w:rFonts w:ascii="Times New Roman" w:hAnsi="Times New Roman" w:eastAsia="楷体" w:cs="Times New Roman"/>
      <w:bCs/>
      <w:iCs/>
      <w:sz w:val="24"/>
      <w:szCs w:val="22"/>
    </w:rPr>
  </w:style>
  <w:style w:type="paragraph" w:customStyle="1" w:styleId="23">
    <w:name w:val="表头"/>
    <w:basedOn w:val="1"/>
    <w:qFormat/>
    <w:uiPriority w:val="0"/>
    <w:pPr>
      <w:spacing w:line="360" w:lineRule="auto"/>
      <w:jc w:val="center"/>
    </w:pPr>
    <w:rPr>
      <w:rFonts w:ascii="Times New Roman" w:hAnsi="Times New Roman" w:eastAsia="宋体" w:cs="Times New Roman"/>
      <w:sz w:val="24"/>
      <w:szCs w:val="22"/>
      <w:lang w:eastAsia="en-US"/>
    </w:rPr>
  </w:style>
  <w:style w:type="paragraph" w:customStyle="1" w:styleId="24">
    <w:name w:val="WPSOffice手动目录 1"/>
    <w:qFormat/>
    <w:uiPriority w:val="0"/>
    <w:pPr>
      <w:spacing w:line="360" w:lineRule="auto"/>
      <w:ind w:leftChars="0"/>
    </w:pPr>
    <w:rPr>
      <w:rFonts w:hint="eastAsia" w:ascii="黑体" w:hAnsi="黑体" w:eastAsia="黑体" w:cs="黑体"/>
      <w:b/>
      <w:color w:val="auto"/>
      <w:sz w:val="24"/>
      <w:szCs w:val="24"/>
      <w:lang w:val="en-US" w:eastAsia="zh-CN"/>
    </w:rPr>
  </w:style>
  <w:style w:type="paragraph" w:customStyle="1" w:styleId="25">
    <w:name w:val="WPSOffice手动目录 2"/>
    <w:qFormat/>
    <w:uiPriority w:val="0"/>
    <w:pPr>
      <w:spacing w:line="360" w:lineRule="auto"/>
      <w:ind w:left="480" w:leftChars="200"/>
    </w:pPr>
    <w:rPr>
      <w:rFonts w:hint="eastAsia" w:ascii="楷体" w:hAnsi="楷体" w:eastAsia="楷体" w:cs="楷体"/>
      <w:color w:val="auto"/>
      <w:sz w:val="24"/>
      <w:szCs w:val="24"/>
      <w:lang w:val="en-US" w:eastAsia="zh-CN"/>
    </w:rPr>
  </w:style>
  <w:style w:type="paragraph" w:customStyle="1" w:styleId="26">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5311</Words>
  <Characters>5392</Characters>
  <Lines>0</Lines>
  <Paragraphs>0</Paragraphs>
  <TotalTime>10</TotalTime>
  <ScaleCrop>false</ScaleCrop>
  <LinksUpToDate>false</LinksUpToDate>
  <CharactersWithSpaces>5475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2024-03-12T06:25:00Z</dcterms:created>
  <dc:creator>栗子</dc:creator>
  <cp:lastModifiedBy>bugu</cp:lastModifiedBy>
  <dcterms:modified xsi:type="dcterms:W3CDTF">2025-03-18T04:22:52Z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542FF05F967D4442991B7C3A9EB89F5B_11</vt:lpwstr>
  </property>
  <property fmtid="{D5CDD505-2E9C-101B-9397-08002B2CF9AE}" pid="4" name="KSOTemplateDocerSaveRecord">
    <vt:lpwstr>eyJoZGlkIjoiOTAxMWE4ZDYxY2ZjMTI4NTA3ZmUzNWQzOTAwNmM3YTEiLCJ1c2VySWQiOiIxMzA3MTU5MDA0In0=</vt:lpwstr>
  </property>
</Properties>
</file>